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A0F" w:rsidRPr="009C23CD" w:rsidRDefault="009C23CD" w:rsidP="00F91A0F">
      <w:pPr>
        <w:pStyle w:val="berschrift1"/>
        <w:numPr>
          <w:ilvl w:val="0"/>
          <w:numId w:val="0"/>
        </w:numPr>
        <w:spacing w:before="120" w:after="240"/>
        <w:ind w:left="851" w:hanging="851"/>
        <w:rPr>
          <w:color w:val="000000" w:themeColor="text1"/>
          <w:sz w:val="24"/>
          <w:szCs w:val="24"/>
        </w:rPr>
      </w:pPr>
      <w:r w:rsidRPr="009C23CD">
        <w:rPr>
          <w:color w:val="000000" w:themeColor="text1"/>
          <w:sz w:val="24"/>
          <w:szCs w:val="24"/>
        </w:rPr>
        <w:t>Bau von Photovoltaikanlagen</w:t>
      </w:r>
      <w:r w:rsidR="003C5277">
        <w:rPr>
          <w:color w:val="000000" w:themeColor="text1"/>
          <w:sz w:val="24"/>
          <w:szCs w:val="24"/>
        </w:rPr>
        <w:t xml:space="preserve"> Inland</w:t>
      </w:r>
    </w:p>
    <w:p w:rsidR="00DB6F69" w:rsidRDefault="00AC4F41" w:rsidP="00AC4F41">
      <w:pPr>
        <w:pStyle w:val="Textkrper"/>
        <w:spacing w:before="120"/>
        <w:rPr>
          <w:b/>
          <w:color w:val="000000" w:themeColor="text1"/>
          <w:szCs w:val="22"/>
        </w:rPr>
      </w:pPr>
      <w:r w:rsidRPr="009C23CD">
        <w:rPr>
          <w:b/>
          <w:color w:val="000000" w:themeColor="text1"/>
          <w:szCs w:val="22"/>
        </w:rPr>
        <w:t>Einleitun</w:t>
      </w:r>
      <w:r w:rsidR="00DB6F69" w:rsidRPr="009C23CD">
        <w:rPr>
          <w:b/>
          <w:color w:val="000000" w:themeColor="text1"/>
          <w:szCs w:val="22"/>
        </w:rPr>
        <w:t>g</w:t>
      </w:r>
    </w:p>
    <w:p w:rsidR="00551F60" w:rsidRPr="003C5277" w:rsidRDefault="005437D1" w:rsidP="00DE453C">
      <w:pPr>
        <w:spacing w:line="276" w:lineRule="auto"/>
        <w:jc w:val="both"/>
        <w:rPr>
          <w:rFonts w:cs="Arial"/>
        </w:rPr>
      </w:pPr>
      <w:r w:rsidRPr="003C5277">
        <w:rPr>
          <w:rFonts w:cs="Arial"/>
        </w:rPr>
        <w:t xml:space="preserve">Diese Checkliste gelangt zur </w:t>
      </w:r>
      <w:r w:rsidR="00E339D6" w:rsidRPr="003C5277">
        <w:rPr>
          <w:rFonts w:cs="Arial"/>
        </w:rPr>
        <w:t>Anwendung</w:t>
      </w:r>
      <w:r w:rsidRPr="003C5277">
        <w:rPr>
          <w:rFonts w:cs="Arial"/>
        </w:rPr>
        <w:t xml:space="preserve">, wenn das BBL-IM einen Auftrag zum Bau einer Photovoltaikanlage im Eigentum </w:t>
      </w:r>
      <w:r w:rsidR="00B830A6" w:rsidRPr="003C5277">
        <w:rPr>
          <w:rFonts w:cs="Arial"/>
        </w:rPr>
        <w:t xml:space="preserve">im Inland </w:t>
      </w:r>
      <w:r w:rsidRPr="003C5277">
        <w:rPr>
          <w:rFonts w:cs="Arial"/>
        </w:rPr>
        <w:t>erteilt.</w:t>
      </w:r>
      <w:r w:rsidR="00787514" w:rsidRPr="003C5277">
        <w:rPr>
          <w:rFonts w:cs="Arial"/>
        </w:rPr>
        <w:t xml:space="preserve"> </w:t>
      </w:r>
      <w:r w:rsidR="00DE453C" w:rsidRPr="003C5277">
        <w:rPr>
          <w:rFonts w:cs="Arial"/>
        </w:rPr>
        <w:t xml:space="preserve">Wird in dieser Checkliste BBL-OM erwähnt, </w:t>
      </w:r>
      <w:r w:rsidR="004062B5" w:rsidRPr="003C5277">
        <w:rPr>
          <w:rFonts w:cs="Arial"/>
        </w:rPr>
        <w:t>sind</w:t>
      </w:r>
      <w:r w:rsidR="00787514" w:rsidRPr="003C5277">
        <w:rPr>
          <w:rFonts w:cs="Arial"/>
        </w:rPr>
        <w:t xml:space="preserve"> </w:t>
      </w:r>
      <w:r w:rsidR="00DE453C" w:rsidRPr="003C5277">
        <w:rPr>
          <w:rFonts w:cs="Arial"/>
        </w:rPr>
        <w:t>BBL-OBB und BBL-TGM gemeint</w:t>
      </w:r>
      <w:r w:rsidR="00371BDB" w:rsidRPr="003C5277">
        <w:rPr>
          <w:rFonts w:cs="Arial"/>
        </w:rPr>
        <w:t>.</w:t>
      </w:r>
    </w:p>
    <w:p w:rsidR="009C23CD" w:rsidRPr="009C23CD" w:rsidRDefault="009C23CD" w:rsidP="009C23CD">
      <w:pPr>
        <w:rPr>
          <w:noProof/>
          <w:color w:val="000000" w:themeColor="text1"/>
        </w:rPr>
      </w:pPr>
    </w:p>
    <w:p w:rsidR="00567069" w:rsidRPr="00551F60" w:rsidRDefault="0025338A" w:rsidP="00567069">
      <w:pPr>
        <w:rPr>
          <w:rFonts w:cs="Arial"/>
          <w:b/>
          <w:color w:val="000000" w:themeColor="text1"/>
        </w:rPr>
      </w:pPr>
      <w:r w:rsidRPr="00551F60">
        <w:rPr>
          <w:rFonts w:cs="Arial"/>
          <w:b/>
          <w:color w:val="000000" w:themeColor="text1"/>
        </w:rPr>
        <w:t>Ausgangslage</w:t>
      </w:r>
    </w:p>
    <w:p w:rsidR="00567069" w:rsidRPr="00551F60" w:rsidRDefault="00567069" w:rsidP="00567069">
      <w:pPr>
        <w:pStyle w:val="Listenabsatz"/>
        <w:numPr>
          <w:ilvl w:val="0"/>
          <w:numId w:val="16"/>
        </w:numPr>
        <w:spacing w:line="276" w:lineRule="auto"/>
        <w:ind w:left="357" w:hanging="357"/>
        <w:rPr>
          <w:rFonts w:cs="Arial"/>
          <w:color w:val="000000" w:themeColor="text1"/>
        </w:rPr>
      </w:pPr>
      <w:r w:rsidRPr="00551F60">
        <w:rPr>
          <w:rFonts w:cs="Arial"/>
          <w:color w:val="000000" w:themeColor="text1"/>
        </w:rPr>
        <w:t>Bunde</w:t>
      </w:r>
      <w:r w:rsidR="008E7CAB">
        <w:rPr>
          <w:rFonts w:cs="Arial"/>
          <w:color w:val="000000" w:themeColor="text1"/>
        </w:rPr>
        <w:t>s</w:t>
      </w:r>
      <w:r w:rsidRPr="00551F60">
        <w:rPr>
          <w:rFonts w:cs="Arial"/>
          <w:color w:val="000000" w:themeColor="text1"/>
        </w:rPr>
        <w:t>ratsbeschluss vom 16.09.2011</w:t>
      </w:r>
    </w:p>
    <w:p w:rsidR="00567069" w:rsidRPr="00551F60" w:rsidRDefault="00567069" w:rsidP="00D2225C">
      <w:pPr>
        <w:pStyle w:val="Listenabsatz"/>
        <w:numPr>
          <w:ilvl w:val="0"/>
          <w:numId w:val="16"/>
        </w:numPr>
        <w:spacing w:line="276" w:lineRule="auto"/>
        <w:ind w:left="357" w:hanging="357"/>
        <w:rPr>
          <w:rFonts w:cs="Arial"/>
          <w:color w:val="000000" w:themeColor="text1"/>
        </w:rPr>
      </w:pPr>
      <w:r w:rsidRPr="00551F60">
        <w:rPr>
          <w:rFonts w:cs="Arial"/>
          <w:color w:val="000000" w:themeColor="text1"/>
        </w:rPr>
        <w:t xml:space="preserve">Energiestrategie BBL </w:t>
      </w:r>
      <w:r w:rsidR="00D2225C" w:rsidRPr="00551F60">
        <w:rPr>
          <w:rFonts w:cs="Arial"/>
          <w:color w:val="000000" w:themeColor="text1"/>
        </w:rPr>
        <w:t>2010, Massnahmen 2013/2014</w:t>
      </w:r>
    </w:p>
    <w:p w:rsidR="00567069" w:rsidRPr="00567069" w:rsidRDefault="00567069" w:rsidP="00567069">
      <w:pPr>
        <w:spacing w:line="276" w:lineRule="auto"/>
        <w:rPr>
          <w:rFonts w:cs="Arial"/>
          <w:color w:val="000000" w:themeColor="text1"/>
        </w:rPr>
      </w:pPr>
    </w:p>
    <w:p w:rsidR="00567069" w:rsidRPr="009C23CD" w:rsidRDefault="00567069" w:rsidP="00567069">
      <w:pPr>
        <w:rPr>
          <w:rFonts w:cs="Arial"/>
          <w:b/>
          <w:color w:val="000000" w:themeColor="text1"/>
        </w:rPr>
      </w:pPr>
      <w:r w:rsidRPr="009C23CD">
        <w:rPr>
          <w:rFonts w:cs="Arial"/>
          <w:b/>
          <w:color w:val="000000" w:themeColor="text1"/>
        </w:rPr>
        <w:t>Zielpublikum</w:t>
      </w:r>
    </w:p>
    <w:p w:rsidR="00567069" w:rsidRPr="009C23CD" w:rsidRDefault="00567069" w:rsidP="00567069">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Projektleiter Bauherr</w:t>
      </w:r>
    </w:p>
    <w:p w:rsidR="00567069" w:rsidRDefault="00567069" w:rsidP="00567069">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Planer und Unternehmer</w:t>
      </w:r>
    </w:p>
    <w:p w:rsidR="00551F60" w:rsidRPr="009C23CD" w:rsidRDefault="00551F60" w:rsidP="00567069">
      <w:pPr>
        <w:pStyle w:val="Listenabsatz"/>
        <w:numPr>
          <w:ilvl w:val="0"/>
          <w:numId w:val="16"/>
        </w:numPr>
        <w:spacing w:line="276" w:lineRule="auto"/>
        <w:ind w:left="357" w:hanging="357"/>
        <w:rPr>
          <w:rFonts w:cs="Arial"/>
          <w:color w:val="000000" w:themeColor="text1"/>
        </w:rPr>
      </w:pPr>
      <w:r>
        <w:rPr>
          <w:rFonts w:cs="Arial"/>
          <w:color w:val="000000" w:themeColor="text1"/>
        </w:rPr>
        <w:t>Objektbetreiber</w:t>
      </w:r>
    </w:p>
    <w:p w:rsidR="009C23CD" w:rsidRPr="009C23CD" w:rsidRDefault="009C23CD" w:rsidP="009C23CD">
      <w:pPr>
        <w:rPr>
          <w:rFonts w:cs="Arial"/>
          <w:color w:val="000000" w:themeColor="text1"/>
        </w:rPr>
      </w:pPr>
    </w:p>
    <w:p w:rsidR="009C23CD" w:rsidRPr="009C23CD" w:rsidRDefault="009C23CD" w:rsidP="009C23CD">
      <w:pPr>
        <w:rPr>
          <w:rFonts w:cs="Arial"/>
          <w:b/>
          <w:color w:val="000000" w:themeColor="text1"/>
        </w:rPr>
      </w:pPr>
      <w:r w:rsidRPr="009C23CD">
        <w:rPr>
          <w:rFonts w:cs="Arial"/>
          <w:b/>
          <w:color w:val="000000" w:themeColor="text1"/>
        </w:rPr>
        <w:t>Projektorganisation</w:t>
      </w:r>
    </w:p>
    <w:p w:rsidR="009C23CD" w:rsidRPr="003C5277" w:rsidRDefault="009C23CD" w:rsidP="009C23CD">
      <w:pPr>
        <w:pStyle w:val="Listenabsatz"/>
        <w:numPr>
          <w:ilvl w:val="0"/>
          <w:numId w:val="16"/>
        </w:numPr>
        <w:spacing w:line="276" w:lineRule="auto"/>
        <w:ind w:left="357" w:hanging="357"/>
        <w:rPr>
          <w:rFonts w:cs="Arial"/>
        </w:rPr>
      </w:pPr>
      <w:r w:rsidRPr="009C23CD">
        <w:rPr>
          <w:rFonts w:cs="Arial"/>
          <w:color w:val="000000" w:themeColor="text1"/>
        </w:rPr>
        <w:t xml:space="preserve">Auftragsanalyse Projektleiter Bauherr </w:t>
      </w:r>
      <w:r w:rsidRPr="003C5277">
        <w:rPr>
          <w:rFonts w:cs="Arial"/>
        </w:rPr>
        <w:t>mit Fachberater Bauherr</w:t>
      </w:r>
    </w:p>
    <w:p w:rsidR="00822F4D" w:rsidRPr="003C5277" w:rsidRDefault="009C23CD" w:rsidP="00822F4D">
      <w:pPr>
        <w:pStyle w:val="Listenabsatz"/>
        <w:numPr>
          <w:ilvl w:val="0"/>
          <w:numId w:val="16"/>
        </w:numPr>
        <w:spacing w:line="276" w:lineRule="auto"/>
        <w:ind w:left="357" w:hanging="357"/>
        <w:rPr>
          <w:rFonts w:cs="Arial"/>
        </w:rPr>
      </w:pPr>
      <w:r w:rsidRPr="003C5277">
        <w:rPr>
          <w:rFonts w:cs="Arial"/>
        </w:rPr>
        <w:t xml:space="preserve">Startsitzung mit Ressortleiter, Projektleiter Bauherr, </w:t>
      </w:r>
      <w:r w:rsidR="00822F4D" w:rsidRPr="003C5277">
        <w:rPr>
          <w:rFonts w:cs="Arial"/>
        </w:rPr>
        <w:t>Objektbetreiber des BBL-OM</w:t>
      </w:r>
    </w:p>
    <w:p w:rsidR="009C23CD" w:rsidRPr="003C5277" w:rsidRDefault="009C23CD" w:rsidP="009C23CD">
      <w:pPr>
        <w:pStyle w:val="Listenabsatz"/>
        <w:numPr>
          <w:ilvl w:val="0"/>
          <w:numId w:val="16"/>
        </w:numPr>
        <w:spacing w:line="276" w:lineRule="auto"/>
        <w:ind w:left="357" w:hanging="357"/>
        <w:rPr>
          <w:rFonts w:cs="Arial"/>
        </w:rPr>
      </w:pPr>
      <w:r w:rsidRPr="003C5277">
        <w:rPr>
          <w:rFonts w:cs="Arial"/>
        </w:rPr>
        <w:t xml:space="preserve">Fachberater Bauherr, </w:t>
      </w:r>
      <w:r w:rsidR="008C6AD7">
        <w:rPr>
          <w:rFonts w:cs="Arial"/>
        </w:rPr>
        <w:t>Programm- u. Projektentwicklung</w:t>
      </w:r>
    </w:p>
    <w:p w:rsidR="009C23CD" w:rsidRPr="003C5277" w:rsidRDefault="009C23CD" w:rsidP="009C23CD">
      <w:pPr>
        <w:pStyle w:val="Listenabsatz"/>
        <w:numPr>
          <w:ilvl w:val="0"/>
          <w:numId w:val="16"/>
        </w:numPr>
        <w:spacing w:line="276" w:lineRule="auto"/>
        <w:ind w:left="357" w:hanging="357"/>
        <w:rPr>
          <w:rFonts w:cs="Arial"/>
        </w:rPr>
      </w:pPr>
      <w:r w:rsidRPr="003C5277">
        <w:rPr>
          <w:rFonts w:cs="Arial"/>
        </w:rPr>
        <w:t>Planerbeschaffung Projektleiter Bauherr mit Fachberater Bauherr</w:t>
      </w:r>
    </w:p>
    <w:p w:rsidR="009C23CD" w:rsidRPr="003C5277" w:rsidRDefault="009C23CD" w:rsidP="009C23CD">
      <w:pPr>
        <w:pStyle w:val="Listenabsatz"/>
        <w:numPr>
          <w:ilvl w:val="0"/>
          <w:numId w:val="16"/>
        </w:numPr>
        <w:spacing w:line="276" w:lineRule="auto"/>
        <w:ind w:left="357" w:hanging="357"/>
        <w:rPr>
          <w:rFonts w:cs="Arial"/>
        </w:rPr>
      </w:pPr>
      <w:r w:rsidRPr="003C5277">
        <w:rPr>
          <w:rFonts w:cs="Arial"/>
        </w:rPr>
        <w:t>Vorabklärung über bevorstehende Dachsanierung bei</w:t>
      </w:r>
      <w:r w:rsidR="00F06F79" w:rsidRPr="003C5277">
        <w:rPr>
          <w:rFonts w:cs="Arial"/>
        </w:rPr>
        <w:t xml:space="preserve"> </w:t>
      </w:r>
      <w:r w:rsidRPr="003C5277">
        <w:rPr>
          <w:rFonts w:cs="Arial"/>
        </w:rPr>
        <w:t>BBL</w:t>
      </w:r>
      <w:r w:rsidR="00BA7934" w:rsidRPr="003C5277">
        <w:rPr>
          <w:rFonts w:cs="Arial"/>
        </w:rPr>
        <w:t>-</w:t>
      </w:r>
      <w:r w:rsidR="00551F60" w:rsidRPr="003C5277">
        <w:rPr>
          <w:rFonts w:cs="Arial"/>
        </w:rPr>
        <w:t>OM</w:t>
      </w:r>
    </w:p>
    <w:p w:rsidR="009C23CD" w:rsidRPr="009C23CD" w:rsidRDefault="009C23CD" w:rsidP="009C23CD">
      <w:pPr>
        <w:rPr>
          <w:rFonts w:cs="Arial"/>
          <w:color w:val="000000" w:themeColor="text1"/>
        </w:rPr>
      </w:pPr>
    </w:p>
    <w:p w:rsidR="009C23CD" w:rsidRPr="009C23CD" w:rsidRDefault="009C23CD" w:rsidP="009C23CD">
      <w:pPr>
        <w:rPr>
          <w:rFonts w:cs="Arial"/>
          <w:b/>
          <w:color w:val="000000" w:themeColor="text1"/>
        </w:rPr>
      </w:pPr>
      <w:r w:rsidRPr="009C23CD">
        <w:rPr>
          <w:rFonts w:cs="Arial"/>
          <w:b/>
          <w:color w:val="000000" w:themeColor="text1"/>
        </w:rPr>
        <w:t>Machbarkeitsstudie</w:t>
      </w:r>
    </w:p>
    <w:p w:rsidR="009C23CD" w:rsidRPr="009C23CD" w:rsidRDefault="009C23CD" w:rsidP="009C23CD">
      <w:pPr>
        <w:rPr>
          <w:rFonts w:cs="Arial"/>
          <w:color w:val="000000" w:themeColor="text1"/>
        </w:rPr>
      </w:pPr>
    </w:p>
    <w:p w:rsidR="009C23CD" w:rsidRPr="009C23CD" w:rsidRDefault="009C23CD" w:rsidP="009C23CD">
      <w:pPr>
        <w:rPr>
          <w:rFonts w:cs="Arial"/>
          <w:i/>
          <w:color w:val="000000" w:themeColor="text1"/>
        </w:rPr>
      </w:pPr>
      <w:r w:rsidRPr="009C23CD">
        <w:rPr>
          <w:rFonts w:cs="Arial"/>
          <w:i/>
          <w:color w:val="000000" w:themeColor="text1"/>
        </w:rPr>
        <w:t>Machbarkeitsstudie Fall A: die Machbarkeitsstudie ist zu erarbeiten</w:t>
      </w:r>
    </w:p>
    <w:p w:rsidR="009C23CD" w:rsidRDefault="008C6AD7" w:rsidP="00C66A9B">
      <w:pPr>
        <w:spacing w:line="276" w:lineRule="auto"/>
        <w:ind w:left="567" w:hanging="567"/>
        <w:rPr>
          <w:rFonts w:cs="Arial"/>
          <w:color w:val="000000" w:themeColor="text1"/>
        </w:rPr>
      </w:pPr>
      <w:sdt>
        <w:sdtPr>
          <w:rPr>
            <w:rFonts w:ascii="MS Gothic" w:eastAsia="MS Gothic" w:hAnsi="MS Gothic" w:cs="Arial"/>
            <w:color w:val="000000" w:themeColor="text1"/>
          </w:rPr>
          <w:id w:val="-1768916372"/>
          <w14:checkbox>
            <w14:checked w14:val="0"/>
            <w14:checkedState w14:val="2612" w14:font="MS Gothic"/>
            <w14:uncheckedState w14:val="2610" w14:font="MS Gothic"/>
          </w14:checkbox>
        </w:sdtPr>
        <w:sdtEndPr/>
        <w:sdtContent>
          <w:r w:rsidR="0038372E">
            <w:rPr>
              <w:rFonts w:ascii="MS Gothic" w:eastAsia="MS Gothic" w:hAnsi="MS Gothic" w:cs="Arial" w:hint="eastAsia"/>
              <w:color w:val="000000" w:themeColor="text1"/>
            </w:rPr>
            <w:t>☐</w:t>
          </w:r>
        </w:sdtContent>
      </w:sdt>
      <w:r w:rsidR="00C66A9B">
        <w:rPr>
          <w:rFonts w:ascii="MS Gothic" w:eastAsia="MS Gothic" w:hAnsi="MS Gothic" w:cs="Arial"/>
          <w:color w:val="000000" w:themeColor="text1"/>
        </w:rPr>
        <w:tab/>
      </w:r>
      <w:r w:rsidR="009C23CD" w:rsidRPr="009C23CD">
        <w:rPr>
          <w:rFonts w:cs="Arial"/>
          <w:color w:val="000000" w:themeColor="text1"/>
        </w:rPr>
        <w:t>Abgrenzung durch Bauherrschaft, geeignete Flächen, Ausrichtung, Varianten und Alternativen</w:t>
      </w:r>
    </w:p>
    <w:p w:rsidR="009C23CD" w:rsidRDefault="008C6AD7" w:rsidP="00C66A9B">
      <w:pPr>
        <w:spacing w:line="276" w:lineRule="auto"/>
        <w:ind w:left="567" w:hanging="567"/>
        <w:rPr>
          <w:rFonts w:cs="Arial"/>
          <w:color w:val="000000" w:themeColor="text1"/>
        </w:rPr>
      </w:pPr>
      <w:sdt>
        <w:sdtPr>
          <w:rPr>
            <w:rFonts w:cs="Arial"/>
            <w:color w:val="000000" w:themeColor="text1"/>
          </w:rPr>
          <w:id w:val="-1209177846"/>
          <w14:checkbox>
            <w14:checked w14:val="0"/>
            <w14:checkedState w14:val="2612" w14:font="MS Gothic"/>
            <w14:uncheckedState w14:val="2610" w14:font="MS Gothic"/>
          </w14:checkbox>
        </w:sdtPr>
        <w:sdtEndPr/>
        <w:sdtContent>
          <w:r w:rsidR="0038372E">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 xml:space="preserve">Ermitteln der Jahreskosten mithilfe der Annuitätsbeurteilung mit </w:t>
      </w:r>
      <w:r w:rsidR="009C23CD" w:rsidRPr="00C66A9B">
        <w:rPr>
          <w:rFonts w:cs="Arial"/>
          <w:color w:val="000000" w:themeColor="text1"/>
        </w:rPr>
        <w:br/>
        <w:t>- Nutzungsdauer 25 Jahre</w:t>
      </w:r>
      <w:r w:rsidR="009C23CD" w:rsidRPr="00C66A9B">
        <w:rPr>
          <w:rFonts w:cs="Arial"/>
          <w:color w:val="000000" w:themeColor="text1"/>
        </w:rPr>
        <w:br/>
        <w:t xml:space="preserve">- 3% Kapitalzinssatz, </w:t>
      </w:r>
      <w:r w:rsidR="009C23CD" w:rsidRPr="00C66A9B">
        <w:rPr>
          <w:rFonts w:cs="Arial"/>
          <w:color w:val="000000" w:themeColor="text1"/>
        </w:rPr>
        <w:br/>
        <w:t>- Strombezug mit 20 Rp. / kWh (Strom, Netzkostenbeitrag, Umweltzuschlag)</w:t>
      </w:r>
      <w:r w:rsidR="009C23CD" w:rsidRPr="00C66A9B">
        <w:rPr>
          <w:rFonts w:cs="Arial"/>
          <w:color w:val="000000" w:themeColor="text1"/>
        </w:rPr>
        <w:br/>
        <w:t>- Stromrückgabe mit 5 Rp. / kWh</w:t>
      </w:r>
      <w:r w:rsidR="0025338A" w:rsidRPr="00C66A9B">
        <w:rPr>
          <w:rFonts w:cs="Arial"/>
          <w:color w:val="000000" w:themeColor="text1"/>
        </w:rPr>
        <w:br/>
        <w:t xml:space="preserve">Die aktuellen </w:t>
      </w:r>
      <w:r w:rsidR="0032770A" w:rsidRPr="00C66A9B">
        <w:rPr>
          <w:rFonts w:cs="Arial"/>
          <w:color w:val="000000" w:themeColor="text1"/>
        </w:rPr>
        <w:t xml:space="preserve">Eingabegrössen sind </w:t>
      </w:r>
      <w:r w:rsidR="0025338A" w:rsidRPr="00C66A9B">
        <w:rPr>
          <w:rFonts w:cs="Arial"/>
          <w:color w:val="000000" w:themeColor="text1"/>
        </w:rPr>
        <w:t xml:space="preserve">der KBOB Empfehlung </w:t>
      </w:r>
      <w:r w:rsidR="00C66A9B">
        <w:rPr>
          <w:rFonts w:cs="Arial"/>
          <w:color w:val="000000" w:themeColor="text1"/>
        </w:rPr>
        <w:t>W</w:t>
      </w:r>
      <w:r w:rsidR="0025338A" w:rsidRPr="00C66A9B">
        <w:rPr>
          <w:rFonts w:cs="Arial"/>
          <w:color w:val="000000" w:themeColor="text1"/>
        </w:rPr>
        <w:t>irtschaftli</w:t>
      </w:r>
      <w:r w:rsidR="0032770A" w:rsidRPr="00C66A9B">
        <w:rPr>
          <w:rFonts w:cs="Arial"/>
          <w:color w:val="000000" w:themeColor="text1"/>
        </w:rPr>
        <w:t>ch</w:t>
      </w:r>
      <w:r w:rsidR="0025338A" w:rsidRPr="00C66A9B">
        <w:rPr>
          <w:rFonts w:cs="Arial"/>
          <w:color w:val="000000" w:themeColor="text1"/>
        </w:rPr>
        <w:t>keits</w:t>
      </w:r>
      <w:r w:rsidR="00C66A9B">
        <w:rPr>
          <w:rFonts w:cs="Arial"/>
          <w:color w:val="000000" w:themeColor="text1"/>
        </w:rPr>
        <w:softHyphen/>
      </w:r>
      <w:r w:rsidR="0025338A" w:rsidRPr="00C66A9B">
        <w:rPr>
          <w:rFonts w:cs="Arial"/>
          <w:color w:val="000000" w:themeColor="text1"/>
        </w:rPr>
        <w:t>rechnung im Hochbau</w:t>
      </w:r>
      <w:r w:rsidR="0032770A" w:rsidRPr="00C66A9B">
        <w:rPr>
          <w:rFonts w:cs="Arial"/>
          <w:color w:val="000000" w:themeColor="text1"/>
        </w:rPr>
        <w:t xml:space="preserve"> zu entnehmen und können mit dem </w:t>
      </w:r>
      <w:r w:rsidR="00F34EE3" w:rsidRPr="00C66A9B">
        <w:rPr>
          <w:rFonts w:cs="Arial"/>
          <w:color w:val="000000" w:themeColor="text1"/>
        </w:rPr>
        <w:t xml:space="preserve">dort erwähnten </w:t>
      </w:r>
      <w:r w:rsidR="0032770A" w:rsidRPr="00C66A9B">
        <w:rPr>
          <w:rFonts w:cs="Arial"/>
          <w:color w:val="000000" w:themeColor="text1"/>
        </w:rPr>
        <w:t>Tool verarbeitet werden.</w:t>
      </w:r>
    </w:p>
    <w:p w:rsidR="009C23CD" w:rsidRDefault="008C6AD7" w:rsidP="00C66A9B">
      <w:pPr>
        <w:spacing w:line="276" w:lineRule="auto"/>
        <w:ind w:left="567" w:hanging="567"/>
        <w:rPr>
          <w:rFonts w:cs="Arial"/>
          <w:color w:val="000000" w:themeColor="text1"/>
        </w:rPr>
      </w:pPr>
      <w:sdt>
        <w:sdtPr>
          <w:rPr>
            <w:rFonts w:cs="Arial"/>
            <w:color w:val="000000" w:themeColor="text1"/>
          </w:rPr>
          <w:id w:val="-1124838985"/>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Analyse der maximalen Flächen (Dach – Fassaden – Freiflächen etc.)</w:t>
      </w:r>
    </w:p>
    <w:p w:rsidR="009C23CD" w:rsidRDefault="008C6AD7" w:rsidP="00C66A9B">
      <w:pPr>
        <w:spacing w:line="276" w:lineRule="auto"/>
        <w:ind w:left="567" w:hanging="567"/>
        <w:rPr>
          <w:rFonts w:cs="Arial"/>
          <w:color w:val="000000" w:themeColor="text1"/>
        </w:rPr>
      </w:pPr>
      <w:sdt>
        <w:sdtPr>
          <w:rPr>
            <w:rFonts w:cs="Arial"/>
            <w:color w:val="000000" w:themeColor="text1"/>
          </w:rPr>
          <w:id w:val="-829285988"/>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 xml:space="preserve">Beurteilung des Bestandes, insbesondere der Elektromagnetischen Verträglichkeit </w:t>
      </w:r>
      <w:r w:rsidR="009C23CD" w:rsidRPr="00C66A9B">
        <w:rPr>
          <w:rFonts w:cs="Arial"/>
          <w:color w:val="000000" w:themeColor="text1"/>
        </w:rPr>
        <w:br/>
        <w:t>(EMV-Konzept wie Blitzschutz etc.) sowie der technischen Anlagen und Schnittstellen</w:t>
      </w:r>
    </w:p>
    <w:p w:rsidR="009C23CD" w:rsidRDefault="008C6AD7" w:rsidP="00C66A9B">
      <w:pPr>
        <w:spacing w:line="276" w:lineRule="auto"/>
        <w:ind w:left="567" w:hanging="567"/>
        <w:rPr>
          <w:rFonts w:cs="Arial"/>
          <w:color w:val="000000" w:themeColor="text1"/>
        </w:rPr>
      </w:pPr>
      <w:sdt>
        <w:sdtPr>
          <w:rPr>
            <w:rFonts w:cs="Arial"/>
            <w:color w:val="000000" w:themeColor="text1"/>
          </w:rPr>
          <w:id w:val="-1749800830"/>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Bewertung der Restlebensdauer der Dächer (insbesondere bei Flachdächer)</w:t>
      </w:r>
    </w:p>
    <w:p w:rsidR="009C23CD" w:rsidRDefault="008C6AD7" w:rsidP="00C66A9B">
      <w:pPr>
        <w:spacing w:line="276" w:lineRule="auto"/>
        <w:ind w:left="567" w:hanging="567"/>
        <w:rPr>
          <w:rFonts w:cs="Arial"/>
          <w:color w:val="000000" w:themeColor="text1"/>
        </w:rPr>
      </w:pPr>
      <w:sdt>
        <w:sdtPr>
          <w:rPr>
            <w:rFonts w:cs="Arial"/>
            <w:color w:val="000000" w:themeColor="text1"/>
          </w:rPr>
          <w:id w:val="-68967552"/>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Elektrische Zuleitung - Bewertung Bestand – Optimierung neuer Massnahmen</w:t>
      </w:r>
    </w:p>
    <w:p w:rsidR="009C23CD" w:rsidRDefault="008C6AD7" w:rsidP="00C66A9B">
      <w:pPr>
        <w:spacing w:line="276" w:lineRule="auto"/>
        <w:ind w:left="567" w:hanging="567"/>
        <w:rPr>
          <w:rFonts w:cs="Arial"/>
          <w:color w:val="000000" w:themeColor="text1"/>
        </w:rPr>
      </w:pPr>
      <w:sdt>
        <w:sdtPr>
          <w:rPr>
            <w:rFonts w:cs="Arial"/>
            <w:color w:val="000000" w:themeColor="text1"/>
          </w:rPr>
          <w:id w:val="-172948350"/>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Nachweis mögliche Dachfläche plus Reserveflächen für HLK-Belange</w:t>
      </w:r>
    </w:p>
    <w:p w:rsidR="009C23CD" w:rsidRDefault="008C6AD7" w:rsidP="00C66A9B">
      <w:pPr>
        <w:spacing w:line="276" w:lineRule="auto"/>
        <w:ind w:left="567" w:hanging="567"/>
        <w:rPr>
          <w:rFonts w:cs="Arial"/>
          <w:color w:val="000000" w:themeColor="text1"/>
        </w:rPr>
      </w:pPr>
      <w:sdt>
        <w:sdtPr>
          <w:rPr>
            <w:rFonts w:cs="Arial"/>
            <w:color w:val="000000" w:themeColor="text1"/>
          </w:rPr>
          <w:id w:val="-1886708331"/>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Nachweis mögliche Panel-Fläche mit Layout</w:t>
      </w:r>
    </w:p>
    <w:p w:rsidR="009C23CD" w:rsidRDefault="008C6AD7" w:rsidP="00C66A9B">
      <w:pPr>
        <w:spacing w:line="276" w:lineRule="auto"/>
        <w:ind w:left="567" w:hanging="567"/>
        <w:rPr>
          <w:rFonts w:cs="Arial"/>
          <w:color w:val="000000" w:themeColor="text1"/>
        </w:rPr>
      </w:pPr>
      <w:sdt>
        <w:sdtPr>
          <w:rPr>
            <w:rFonts w:cs="Arial"/>
            <w:color w:val="000000" w:themeColor="text1"/>
          </w:rPr>
          <w:id w:val="-791206378"/>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Nachweis mögliche Anlage-Leistung</w:t>
      </w:r>
    </w:p>
    <w:p w:rsidR="009C23CD" w:rsidRDefault="008C6AD7" w:rsidP="00C66A9B">
      <w:pPr>
        <w:spacing w:line="276" w:lineRule="auto"/>
        <w:ind w:left="567" w:hanging="567"/>
        <w:rPr>
          <w:rFonts w:cs="Arial"/>
          <w:color w:val="000000" w:themeColor="text1"/>
        </w:rPr>
      </w:pPr>
      <w:sdt>
        <w:sdtPr>
          <w:rPr>
            <w:rFonts w:cs="Arial"/>
            <w:color w:val="000000" w:themeColor="text1"/>
          </w:rPr>
          <w:id w:val="-1627765109"/>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Prognose des Jahres-Energieertrages</w:t>
      </w:r>
    </w:p>
    <w:p w:rsidR="009C23CD" w:rsidRDefault="008C6AD7" w:rsidP="00C66A9B">
      <w:pPr>
        <w:spacing w:line="276" w:lineRule="auto"/>
        <w:ind w:left="567" w:hanging="567"/>
        <w:rPr>
          <w:rFonts w:cs="Arial"/>
          <w:color w:val="000000" w:themeColor="text1"/>
        </w:rPr>
      </w:pPr>
      <w:sdt>
        <w:sdtPr>
          <w:rPr>
            <w:rFonts w:cs="Arial"/>
            <w:color w:val="000000" w:themeColor="text1"/>
          </w:rPr>
          <w:id w:val="1826775659"/>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 xml:space="preserve">Vorschlag optimale Ausrichtung und Neigung </w:t>
      </w:r>
    </w:p>
    <w:p w:rsidR="009C23CD" w:rsidRDefault="008C6AD7" w:rsidP="00C66A9B">
      <w:pPr>
        <w:spacing w:line="276" w:lineRule="auto"/>
        <w:ind w:left="567" w:hanging="567"/>
        <w:rPr>
          <w:rFonts w:cs="Arial"/>
          <w:color w:val="000000" w:themeColor="text1"/>
        </w:rPr>
      </w:pPr>
      <w:sdt>
        <w:sdtPr>
          <w:rPr>
            <w:rFonts w:cs="Arial"/>
            <w:color w:val="000000" w:themeColor="text1"/>
          </w:rPr>
          <w:id w:val="-2003113747"/>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Entscheidungsgrundlage mit Vergleich verschiedener Modultypen zu Marktpreisen.</w:t>
      </w:r>
    </w:p>
    <w:p w:rsidR="009C23CD" w:rsidRDefault="008C6AD7" w:rsidP="00C66A9B">
      <w:pPr>
        <w:spacing w:line="276" w:lineRule="auto"/>
        <w:ind w:left="567" w:hanging="567"/>
        <w:rPr>
          <w:rFonts w:cs="Arial"/>
          <w:color w:val="000000" w:themeColor="text1"/>
        </w:rPr>
      </w:pPr>
      <w:sdt>
        <w:sdtPr>
          <w:rPr>
            <w:rFonts w:cs="Arial"/>
            <w:color w:val="000000" w:themeColor="text1"/>
          </w:rPr>
          <w:id w:val="-2039656222"/>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Deklaration der zusätzlichen Nutzlasten der Dachflächen</w:t>
      </w:r>
      <w:r w:rsidR="006B0384" w:rsidRPr="00C66A9B">
        <w:rPr>
          <w:rFonts w:cs="Arial"/>
          <w:color w:val="000000" w:themeColor="text1"/>
        </w:rPr>
        <w:t xml:space="preserve"> </w:t>
      </w:r>
      <w:r w:rsidR="009C23CD" w:rsidRPr="00C66A9B">
        <w:rPr>
          <w:rFonts w:cs="Arial"/>
          <w:color w:val="000000" w:themeColor="text1"/>
        </w:rPr>
        <w:t>sowie Nachweis statischen Tragfähigkeit</w:t>
      </w:r>
    </w:p>
    <w:p w:rsidR="009C23CD" w:rsidRDefault="008C6AD7" w:rsidP="00C66A9B">
      <w:pPr>
        <w:spacing w:line="276" w:lineRule="auto"/>
        <w:ind w:left="567" w:hanging="567"/>
        <w:rPr>
          <w:rFonts w:cs="Arial"/>
          <w:color w:val="000000" w:themeColor="text1"/>
        </w:rPr>
      </w:pPr>
      <w:sdt>
        <w:sdtPr>
          <w:rPr>
            <w:rFonts w:cs="Arial"/>
            <w:color w:val="000000" w:themeColor="text1"/>
          </w:rPr>
          <w:id w:val="-2100862135"/>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Deklaration der Druckbelastung der Dachhaut</w:t>
      </w:r>
    </w:p>
    <w:p w:rsidR="009C23CD" w:rsidRDefault="008C6AD7" w:rsidP="00C66A9B">
      <w:pPr>
        <w:spacing w:line="276" w:lineRule="auto"/>
        <w:ind w:left="567" w:hanging="567"/>
        <w:rPr>
          <w:rFonts w:cs="Arial"/>
          <w:color w:val="000000" w:themeColor="text1"/>
        </w:rPr>
      </w:pPr>
      <w:sdt>
        <w:sdtPr>
          <w:rPr>
            <w:rFonts w:cs="Arial"/>
            <w:color w:val="000000" w:themeColor="text1"/>
          </w:rPr>
          <w:id w:val="-104884682"/>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Deklaration der gewählten Technologie, Aufständerung, Montagesystem</w:t>
      </w:r>
    </w:p>
    <w:p w:rsidR="009C23CD" w:rsidRDefault="008C6AD7" w:rsidP="00C66A9B">
      <w:pPr>
        <w:spacing w:line="276" w:lineRule="auto"/>
        <w:ind w:left="567" w:hanging="567"/>
        <w:rPr>
          <w:rFonts w:cs="Arial"/>
          <w:color w:val="000000" w:themeColor="text1"/>
        </w:rPr>
      </w:pPr>
      <w:sdt>
        <w:sdtPr>
          <w:rPr>
            <w:rFonts w:cs="Arial"/>
            <w:color w:val="000000" w:themeColor="text1"/>
          </w:rPr>
          <w:id w:val="964312373"/>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Kostenrelevante Besonderheiten bez. Zugang, Zutritt, Baustellenlogistik</w:t>
      </w:r>
    </w:p>
    <w:p w:rsidR="009C23CD" w:rsidRDefault="008C6AD7" w:rsidP="00C66A9B">
      <w:pPr>
        <w:spacing w:line="276" w:lineRule="auto"/>
        <w:ind w:left="567" w:hanging="567"/>
        <w:rPr>
          <w:rFonts w:cs="Arial"/>
          <w:color w:val="000000" w:themeColor="text1"/>
        </w:rPr>
      </w:pPr>
      <w:sdt>
        <w:sdtPr>
          <w:rPr>
            <w:rFonts w:cs="Arial"/>
            <w:color w:val="000000" w:themeColor="text1"/>
          </w:rPr>
          <w:id w:val="-2000032469"/>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Klärung Konzept Personenabsturzsicherung</w:t>
      </w:r>
    </w:p>
    <w:p w:rsidR="009C23CD" w:rsidRDefault="008C6AD7" w:rsidP="00C66A9B">
      <w:pPr>
        <w:spacing w:line="276" w:lineRule="auto"/>
        <w:ind w:left="567" w:hanging="567"/>
        <w:rPr>
          <w:rFonts w:cs="Arial"/>
          <w:color w:val="000000" w:themeColor="text1"/>
        </w:rPr>
      </w:pPr>
      <w:sdt>
        <w:sdtPr>
          <w:rPr>
            <w:rFonts w:cs="Arial"/>
            <w:color w:val="000000" w:themeColor="text1"/>
          </w:rPr>
          <w:id w:val="-2053768835"/>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Standort und Konzept Wechselrichter</w:t>
      </w:r>
    </w:p>
    <w:p w:rsidR="009C23CD" w:rsidRDefault="008C6AD7" w:rsidP="00C66A9B">
      <w:pPr>
        <w:spacing w:line="276" w:lineRule="auto"/>
        <w:ind w:left="567" w:hanging="567"/>
        <w:rPr>
          <w:rFonts w:cs="Arial"/>
          <w:color w:val="000000" w:themeColor="text1"/>
        </w:rPr>
      </w:pPr>
      <w:sdt>
        <w:sdtPr>
          <w:rPr>
            <w:rFonts w:cs="Arial"/>
            <w:color w:val="000000" w:themeColor="text1"/>
          </w:rPr>
          <w:id w:val="1390697313"/>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Vorabklärung allfälliger Auflagen der Baubehörden</w:t>
      </w:r>
    </w:p>
    <w:p w:rsidR="009C23CD" w:rsidRDefault="008C6AD7" w:rsidP="00C66A9B">
      <w:pPr>
        <w:spacing w:line="276" w:lineRule="auto"/>
        <w:ind w:left="567" w:hanging="567"/>
        <w:rPr>
          <w:rFonts w:cs="Arial"/>
          <w:color w:val="000000" w:themeColor="text1"/>
        </w:rPr>
      </w:pPr>
      <w:sdt>
        <w:sdtPr>
          <w:rPr>
            <w:rFonts w:cs="Arial"/>
            <w:color w:val="000000" w:themeColor="text1"/>
          </w:rPr>
          <w:id w:val="543648403"/>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 xml:space="preserve">Vorabklärung der Netzrückwirkungen mit dem Verteilnetzbetreiber </w:t>
      </w:r>
    </w:p>
    <w:p w:rsidR="009C23CD" w:rsidRDefault="008C6AD7" w:rsidP="00C66A9B">
      <w:pPr>
        <w:spacing w:line="276" w:lineRule="auto"/>
        <w:ind w:left="567" w:hanging="567"/>
        <w:rPr>
          <w:rFonts w:cs="Arial"/>
          <w:color w:val="000000" w:themeColor="text1"/>
        </w:rPr>
      </w:pPr>
      <w:sdt>
        <w:sdtPr>
          <w:rPr>
            <w:rFonts w:cs="Arial"/>
            <w:color w:val="000000" w:themeColor="text1"/>
          </w:rPr>
          <w:id w:val="1143077133"/>
          <w14:checkbox>
            <w14:checked w14:val="0"/>
            <w14:checkedState w14:val="2612" w14:font="MS Gothic"/>
            <w14:uncheckedState w14:val="2610" w14:font="MS Gothic"/>
          </w14:checkbox>
        </w:sdtPr>
        <w:sdtEndPr/>
        <w:sdtContent>
          <w:r w:rsidR="00C66A9B">
            <w:rPr>
              <w:rFonts w:ascii="MS Gothic" w:eastAsia="MS Gothic" w:hAnsi="MS Gothic" w:cs="Arial" w:hint="eastAsia"/>
              <w:color w:val="000000" w:themeColor="text1"/>
            </w:rPr>
            <w:t>☐</w:t>
          </w:r>
        </w:sdtContent>
      </w:sdt>
      <w:r w:rsidR="00C66A9B">
        <w:rPr>
          <w:rFonts w:cs="Arial"/>
          <w:color w:val="000000" w:themeColor="text1"/>
        </w:rPr>
        <w:tab/>
      </w:r>
      <w:r w:rsidR="009C23CD" w:rsidRPr="00C66A9B">
        <w:rPr>
          <w:rFonts w:cs="Arial"/>
          <w:color w:val="000000" w:themeColor="text1"/>
        </w:rPr>
        <w:t>Einholung der grundsätzlichen Zustimmung des Verteilnetzbetreibers (Anschlussgesuch)</w:t>
      </w:r>
    </w:p>
    <w:p w:rsidR="009C23CD" w:rsidRDefault="008C6AD7" w:rsidP="006E7785">
      <w:pPr>
        <w:spacing w:line="276" w:lineRule="auto"/>
        <w:ind w:left="567" w:hanging="567"/>
        <w:rPr>
          <w:rFonts w:cs="Arial"/>
          <w:color w:val="000000" w:themeColor="text1"/>
        </w:rPr>
      </w:pPr>
      <w:sdt>
        <w:sdtPr>
          <w:rPr>
            <w:rFonts w:cs="Arial"/>
            <w:color w:val="000000" w:themeColor="text1"/>
          </w:rPr>
          <w:id w:val="1260179150"/>
          <w14:checkbox>
            <w14:checked w14:val="0"/>
            <w14:checkedState w14:val="2612" w14:font="MS Gothic"/>
            <w14:uncheckedState w14:val="2610" w14:font="MS Gothic"/>
          </w14:checkbox>
        </w:sdtPr>
        <w:sdtEndPr/>
        <w:sdtContent>
          <w:r w:rsidR="006E7785">
            <w:rPr>
              <w:rFonts w:ascii="MS Gothic" w:eastAsia="MS Gothic" w:hAnsi="MS Gothic" w:cs="Arial" w:hint="eastAsia"/>
              <w:color w:val="000000" w:themeColor="text1"/>
            </w:rPr>
            <w:t>☐</w:t>
          </w:r>
        </w:sdtContent>
      </w:sdt>
      <w:r w:rsidR="006E7785">
        <w:rPr>
          <w:rFonts w:cs="Arial"/>
          <w:color w:val="000000" w:themeColor="text1"/>
        </w:rPr>
        <w:tab/>
      </w:r>
      <w:r w:rsidR="009C23CD" w:rsidRPr="006E7785">
        <w:rPr>
          <w:rFonts w:cs="Arial"/>
          <w:color w:val="000000" w:themeColor="text1"/>
        </w:rPr>
        <w:t>Gegenüberstellung Leistungsbedarf Objekt und Rückspeiseleistung Anlage</w:t>
      </w:r>
    </w:p>
    <w:p w:rsidR="009C23CD" w:rsidRDefault="008C6AD7" w:rsidP="006E7785">
      <w:pPr>
        <w:spacing w:line="276" w:lineRule="auto"/>
        <w:ind w:left="567" w:hanging="567"/>
        <w:rPr>
          <w:rFonts w:cs="Arial"/>
          <w:color w:val="000000" w:themeColor="text1"/>
        </w:rPr>
      </w:pPr>
      <w:sdt>
        <w:sdtPr>
          <w:rPr>
            <w:rFonts w:cs="Arial"/>
            <w:color w:val="000000" w:themeColor="text1"/>
          </w:rPr>
          <w:id w:val="-1977293909"/>
          <w14:checkbox>
            <w14:checked w14:val="0"/>
            <w14:checkedState w14:val="2612" w14:font="MS Gothic"/>
            <w14:uncheckedState w14:val="2610" w14:font="MS Gothic"/>
          </w14:checkbox>
        </w:sdtPr>
        <w:sdtEndPr/>
        <w:sdtContent>
          <w:r w:rsidR="006E7785">
            <w:rPr>
              <w:rFonts w:ascii="MS Gothic" w:eastAsia="MS Gothic" w:hAnsi="MS Gothic" w:cs="Arial" w:hint="eastAsia"/>
              <w:color w:val="000000" w:themeColor="text1"/>
            </w:rPr>
            <w:t>☐</w:t>
          </w:r>
        </w:sdtContent>
      </w:sdt>
      <w:r w:rsidR="006E7785">
        <w:rPr>
          <w:rFonts w:cs="Arial"/>
          <w:color w:val="000000" w:themeColor="text1"/>
        </w:rPr>
        <w:tab/>
      </w:r>
      <w:r w:rsidR="009C23CD" w:rsidRPr="006E7785">
        <w:rPr>
          <w:rFonts w:cs="Arial"/>
          <w:color w:val="000000" w:themeColor="text1"/>
        </w:rPr>
        <w:t>Gegenüberstellung Energiebedarf Objekt, Jahres-Energieertrag und Rücklieferung</w:t>
      </w:r>
    </w:p>
    <w:p w:rsidR="009C23CD" w:rsidRDefault="008C6AD7" w:rsidP="006E7785">
      <w:pPr>
        <w:spacing w:line="276" w:lineRule="auto"/>
        <w:ind w:left="567" w:hanging="567"/>
        <w:rPr>
          <w:rFonts w:cs="Arial"/>
          <w:color w:val="000000" w:themeColor="text1"/>
        </w:rPr>
      </w:pPr>
      <w:sdt>
        <w:sdtPr>
          <w:rPr>
            <w:rFonts w:cs="Arial"/>
            <w:color w:val="000000" w:themeColor="text1"/>
          </w:rPr>
          <w:id w:val="1185017486"/>
          <w14:checkbox>
            <w14:checked w14:val="0"/>
            <w14:checkedState w14:val="2612" w14:font="MS Gothic"/>
            <w14:uncheckedState w14:val="2610" w14:font="MS Gothic"/>
          </w14:checkbox>
        </w:sdtPr>
        <w:sdtEndPr/>
        <w:sdtContent>
          <w:r w:rsidR="006E7785">
            <w:rPr>
              <w:rFonts w:ascii="MS Gothic" w:eastAsia="MS Gothic" w:hAnsi="MS Gothic" w:cs="Arial" w:hint="eastAsia"/>
              <w:color w:val="000000" w:themeColor="text1"/>
            </w:rPr>
            <w:t>☐</w:t>
          </w:r>
        </w:sdtContent>
      </w:sdt>
      <w:r w:rsidR="006E7785">
        <w:rPr>
          <w:rFonts w:cs="Arial"/>
          <w:color w:val="000000" w:themeColor="text1"/>
        </w:rPr>
        <w:tab/>
      </w:r>
      <w:r w:rsidR="009C23CD" w:rsidRPr="006E7785">
        <w:rPr>
          <w:rFonts w:cs="Arial"/>
          <w:color w:val="000000" w:themeColor="text1"/>
        </w:rPr>
        <w:t>Anlagekosten inkl. Honorare sowie zu berücksichtigende organisatorische, bauliche und technische Folgemassnahmen</w:t>
      </w:r>
    </w:p>
    <w:p w:rsidR="009C23CD" w:rsidRPr="006E7785" w:rsidRDefault="008C6AD7" w:rsidP="006E7785">
      <w:pPr>
        <w:spacing w:line="276" w:lineRule="auto"/>
        <w:ind w:left="567" w:hanging="567"/>
        <w:rPr>
          <w:rFonts w:cs="Arial"/>
          <w:color w:val="000000" w:themeColor="text1"/>
        </w:rPr>
      </w:pPr>
      <w:sdt>
        <w:sdtPr>
          <w:rPr>
            <w:rFonts w:cs="Arial"/>
            <w:color w:val="000000" w:themeColor="text1"/>
          </w:rPr>
          <w:id w:val="973031947"/>
          <w14:checkbox>
            <w14:checked w14:val="0"/>
            <w14:checkedState w14:val="2612" w14:font="MS Gothic"/>
            <w14:uncheckedState w14:val="2610" w14:font="MS Gothic"/>
          </w14:checkbox>
        </w:sdtPr>
        <w:sdtEndPr/>
        <w:sdtContent>
          <w:r w:rsidR="006E7785">
            <w:rPr>
              <w:rFonts w:ascii="MS Gothic" w:eastAsia="MS Gothic" w:hAnsi="MS Gothic" w:cs="Arial" w:hint="eastAsia"/>
              <w:color w:val="000000" w:themeColor="text1"/>
            </w:rPr>
            <w:t>☐</w:t>
          </w:r>
        </w:sdtContent>
      </w:sdt>
      <w:r w:rsidR="006E7785">
        <w:rPr>
          <w:rFonts w:cs="Arial"/>
          <w:color w:val="000000" w:themeColor="text1"/>
        </w:rPr>
        <w:tab/>
      </w:r>
      <w:r w:rsidR="009C23CD" w:rsidRPr="006E7785">
        <w:rPr>
          <w:rFonts w:cs="Arial"/>
          <w:color w:val="000000" w:themeColor="text1"/>
        </w:rPr>
        <w:t>Termine</w:t>
      </w:r>
    </w:p>
    <w:p w:rsidR="009C23CD" w:rsidRPr="009C23CD" w:rsidRDefault="009C23CD" w:rsidP="009C23CD">
      <w:pPr>
        <w:rPr>
          <w:rFonts w:cs="Arial"/>
          <w:color w:val="000000" w:themeColor="text1"/>
        </w:rPr>
      </w:pPr>
    </w:p>
    <w:p w:rsidR="009C23CD" w:rsidRPr="009C23CD" w:rsidRDefault="009C23CD" w:rsidP="009C23CD">
      <w:pPr>
        <w:rPr>
          <w:rFonts w:cs="Arial"/>
          <w:i/>
          <w:color w:val="000000" w:themeColor="text1"/>
        </w:rPr>
      </w:pPr>
      <w:r w:rsidRPr="009C23CD">
        <w:rPr>
          <w:rFonts w:cs="Arial"/>
          <w:i/>
          <w:color w:val="000000" w:themeColor="text1"/>
        </w:rPr>
        <w:t>Machbarkeitsstudie Fall B: die Machbarkeitsstudie liegt vor und soll durch den Fachplaner analysiert werden</w:t>
      </w:r>
    </w:p>
    <w:p w:rsidR="009C23CD" w:rsidRDefault="008C6AD7" w:rsidP="0038372E">
      <w:pPr>
        <w:spacing w:line="276" w:lineRule="auto"/>
        <w:rPr>
          <w:rFonts w:cs="Arial"/>
          <w:color w:val="000000" w:themeColor="text1"/>
        </w:rPr>
      </w:pPr>
      <w:sdt>
        <w:sdtPr>
          <w:rPr>
            <w:rFonts w:cs="Arial"/>
            <w:color w:val="000000" w:themeColor="text1"/>
          </w:rPr>
          <w:id w:val="-1376929436"/>
          <w14:checkbox>
            <w14:checked w14:val="0"/>
            <w14:checkedState w14:val="2612" w14:font="MS Gothic"/>
            <w14:uncheckedState w14:val="2610" w14:font="MS Gothic"/>
          </w14:checkbox>
        </w:sdtPr>
        <w:sdtEndPr/>
        <w:sdtContent>
          <w:r w:rsidR="0038372E">
            <w:rPr>
              <w:rFonts w:ascii="MS Gothic" w:eastAsia="MS Gothic" w:hAnsi="MS Gothic" w:cs="Arial" w:hint="eastAsia"/>
              <w:color w:val="000000" w:themeColor="text1"/>
            </w:rPr>
            <w:t>☐</w:t>
          </w:r>
        </w:sdtContent>
      </w:sdt>
      <w:r w:rsidR="0038372E">
        <w:rPr>
          <w:rFonts w:cs="Arial"/>
          <w:color w:val="000000" w:themeColor="text1"/>
        </w:rPr>
        <w:tab/>
      </w:r>
      <w:r w:rsidR="009C23CD" w:rsidRPr="0038372E">
        <w:rPr>
          <w:rFonts w:cs="Arial"/>
          <w:color w:val="000000" w:themeColor="text1"/>
        </w:rPr>
        <w:t>Analysieren und plausibilisieren der Machbarkeitsstudie</w:t>
      </w:r>
    </w:p>
    <w:p w:rsidR="009C23CD" w:rsidRDefault="008C6AD7" w:rsidP="0038372E">
      <w:pPr>
        <w:spacing w:line="276" w:lineRule="auto"/>
        <w:rPr>
          <w:rFonts w:cs="Arial"/>
          <w:color w:val="000000" w:themeColor="text1"/>
        </w:rPr>
      </w:pPr>
      <w:sdt>
        <w:sdtPr>
          <w:rPr>
            <w:rFonts w:cs="Arial"/>
            <w:color w:val="000000" w:themeColor="text1"/>
          </w:rPr>
          <w:id w:val="746618541"/>
          <w14:checkbox>
            <w14:checked w14:val="0"/>
            <w14:checkedState w14:val="2612" w14:font="MS Gothic"/>
            <w14:uncheckedState w14:val="2610" w14:font="MS Gothic"/>
          </w14:checkbox>
        </w:sdtPr>
        <w:sdtEndPr/>
        <w:sdtContent>
          <w:r w:rsidR="0038372E">
            <w:rPr>
              <w:rFonts w:ascii="MS Gothic" w:eastAsia="MS Gothic" w:hAnsi="MS Gothic" w:cs="Arial" w:hint="eastAsia"/>
              <w:color w:val="000000" w:themeColor="text1"/>
            </w:rPr>
            <w:t>☐</w:t>
          </w:r>
        </w:sdtContent>
      </w:sdt>
      <w:r w:rsidR="0038372E">
        <w:rPr>
          <w:rFonts w:cs="Arial"/>
          <w:color w:val="000000" w:themeColor="text1"/>
        </w:rPr>
        <w:tab/>
      </w:r>
      <w:r w:rsidR="009C23CD" w:rsidRPr="0038372E">
        <w:rPr>
          <w:rFonts w:cs="Arial"/>
          <w:color w:val="000000" w:themeColor="text1"/>
        </w:rPr>
        <w:t>Anmelden von Vorbehalten gegenüber der Machbarkeitsstudie</w:t>
      </w:r>
    </w:p>
    <w:p w:rsidR="009C23CD" w:rsidRPr="0038372E" w:rsidRDefault="008C6AD7" w:rsidP="0038372E">
      <w:pPr>
        <w:spacing w:line="276" w:lineRule="auto"/>
        <w:rPr>
          <w:rFonts w:cs="Arial"/>
          <w:color w:val="000000" w:themeColor="text1"/>
        </w:rPr>
      </w:pPr>
      <w:sdt>
        <w:sdtPr>
          <w:rPr>
            <w:rFonts w:cs="Arial"/>
            <w:color w:val="000000" w:themeColor="text1"/>
          </w:rPr>
          <w:id w:val="211774457"/>
          <w14:checkbox>
            <w14:checked w14:val="0"/>
            <w14:checkedState w14:val="2612" w14:font="MS Gothic"/>
            <w14:uncheckedState w14:val="2610" w14:font="MS Gothic"/>
          </w14:checkbox>
        </w:sdtPr>
        <w:sdtEndPr/>
        <w:sdtContent>
          <w:r w:rsidR="0038372E">
            <w:rPr>
              <w:rFonts w:ascii="MS Gothic" w:eastAsia="MS Gothic" w:hAnsi="MS Gothic" w:cs="Arial" w:hint="eastAsia"/>
              <w:color w:val="000000" w:themeColor="text1"/>
            </w:rPr>
            <w:t>☐</w:t>
          </w:r>
        </w:sdtContent>
      </w:sdt>
      <w:r w:rsidR="0038372E">
        <w:rPr>
          <w:rFonts w:cs="Arial"/>
          <w:color w:val="000000" w:themeColor="text1"/>
        </w:rPr>
        <w:tab/>
      </w:r>
      <w:r w:rsidR="009C23CD" w:rsidRPr="0038372E">
        <w:rPr>
          <w:rFonts w:cs="Arial"/>
          <w:color w:val="000000" w:themeColor="text1"/>
        </w:rPr>
        <w:t xml:space="preserve">Bewertung der Optimierung resp. der Aktualisierung </w:t>
      </w:r>
    </w:p>
    <w:p w:rsidR="009C23CD" w:rsidRPr="009C23CD" w:rsidRDefault="009C23CD" w:rsidP="009C23CD">
      <w:pPr>
        <w:rPr>
          <w:rFonts w:cs="Arial"/>
          <w:color w:val="000000" w:themeColor="text1"/>
        </w:rPr>
      </w:pPr>
    </w:p>
    <w:p w:rsidR="009C23CD" w:rsidRPr="009C23CD" w:rsidRDefault="009C23CD" w:rsidP="009C23CD">
      <w:pPr>
        <w:rPr>
          <w:rFonts w:cs="Arial"/>
          <w:b/>
          <w:color w:val="000000" w:themeColor="text1"/>
        </w:rPr>
      </w:pPr>
      <w:r w:rsidRPr="009C23CD">
        <w:rPr>
          <w:rFonts w:cs="Arial"/>
          <w:b/>
          <w:color w:val="000000" w:themeColor="text1"/>
        </w:rPr>
        <w:t>Grundlagen</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Werkvorschriften und Anschlussbedingungen der Energieversorgungsunternehmung</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 xml:space="preserve">Planvorlagepflicht des Eidgenössischen Starkstrominspektorates ESTI gem. </w:t>
      </w:r>
      <w:r w:rsidRPr="009C23CD">
        <w:rPr>
          <w:rFonts w:cs="Arial"/>
          <w:color w:val="000000" w:themeColor="text1"/>
        </w:rPr>
        <w:br/>
        <w:t>VPeA (SR 734.25) sowie Sicherheitsnachweis im Gleichstrombereich. Anlagen mit einer Anschlussleistung über 3</w:t>
      </w:r>
      <w:r w:rsidR="00A90325">
        <w:rPr>
          <w:rFonts w:cs="Arial"/>
          <w:color w:val="000000" w:themeColor="text1"/>
        </w:rPr>
        <w:t>0</w:t>
      </w:r>
      <w:r w:rsidRPr="009C23CD">
        <w:rPr>
          <w:rFonts w:cs="Arial"/>
          <w:color w:val="000000" w:themeColor="text1"/>
        </w:rPr>
        <w:t xml:space="preserve"> kVA fallen unter diese Pflicht </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Herkunftsnachweis-Verordnung HKNV (SR 730.010.1)</w:t>
      </w:r>
      <w:r w:rsidRPr="009C23CD">
        <w:rPr>
          <w:rFonts w:cs="Arial"/>
          <w:color w:val="000000" w:themeColor="text1"/>
        </w:rPr>
        <w:br/>
        <w:t xml:space="preserve">Anlagen mit einer Anschlussleistung über 30 kVA: Umsetzung Herkunftsnachweis-Verordnung, HKNV (SR 730.010.1) sowie Koordination des Herkunftsnachweises. </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Niederspannungs-Installationsverordnung NIV (SR 734.27)</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Niederspannungsinstallationsnorm NIN (SN SEV 1000)</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Leitsätze des SEV Blitzschutzsysteme 4022 sowie die Blitzschutz-Normen SN EN 62305</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SN EN 62446; IEC 62446 Netzgekoppelte Photovoltaik-Systeme - Mindestanforderungen an Systemdokumentation, Inbetriebnahmeprüfung und Prüfanforderungen</w:t>
      </w:r>
    </w:p>
    <w:p w:rsidR="001A2D74"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lastRenderedPageBreak/>
        <w:t>Brandschutznormen der Vereinigung Kantonaler Feuerversicherungen VKF</w:t>
      </w:r>
    </w:p>
    <w:p w:rsidR="009C23CD" w:rsidRPr="009C23CD" w:rsidRDefault="001A2D74" w:rsidP="003C5277">
      <w:pPr>
        <w:pStyle w:val="Listenabsatz"/>
        <w:numPr>
          <w:ilvl w:val="0"/>
          <w:numId w:val="16"/>
        </w:numPr>
        <w:spacing w:line="276" w:lineRule="auto"/>
        <w:ind w:left="357" w:hanging="357"/>
        <w:rPr>
          <w:rFonts w:cs="Arial"/>
          <w:color w:val="000000" w:themeColor="text1"/>
        </w:rPr>
      </w:pPr>
      <w:r>
        <w:rPr>
          <w:rFonts w:cs="Arial"/>
          <w:color w:val="000000" w:themeColor="text1"/>
        </w:rPr>
        <w:t>KBOB Empfehlung Wirtschaftlichkeitsrechnung im Hochbau</w:t>
      </w:r>
    </w:p>
    <w:p w:rsidR="001B1C86" w:rsidRDefault="001B1C86" w:rsidP="009C23CD">
      <w:pPr>
        <w:rPr>
          <w:rFonts w:cs="Arial"/>
          <w:color w:val="000000" w:themeColor="text1"/>
        </w:rPr>
      </w:pPr>
    </w:p>
    <w:p w:rsidR="009C23CD" w:rsidRPr="009C23CD" w:rsidRDefault="009C23CD" w:rsidP="009C23CD">
      <w:pPr>
        <w:rPr>
          <w:rFonts w:cs="Arial"/>
          <w:b/>
          <w:color w:val="000000" w:themeColor="text1"/>
        </w:rPr>
      </w:pPr>
      <w:r w:rsidRPr="009C23CD">
        <w:rPr>
          <w:rFonts w:cs="Arial"/>
          <w:b/>
          <w:color w:val="000000" w:themeColor="text1"/>
        </w:rPr>
        <w:t>Pflichtenheft an die Fachplanung</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Grundsatz: der Fachplaner integriert die Photovoltaikanlage in die Gebäudetechnik während der Planung, ohne dass der ausführende Unternehmer wesentliche Konzeptänderungen vornehmen muss.</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Sichtung der massgebenden technischen Unterlagen</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Analyse resp. Bestandesaufnahme bezüglich der technischen Anlagen</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 xml:space="preserve">Analyse resp. Bestandesaufnahme bezüglich der elektromagnetischen Verträglichkeit (EMV-Konzept ) </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Risikobeurteilung bezüglich Frühausfall und Reparaturaufwand bei bauteilintegrierten Lösungen.</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Analyse resp. Bestandesaufnahme bezüglich Messkonzept</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 xml:space="preserve">Vorabklärungen bezüglich Netzrückwirkungen sowie der Anschlussbewilligung mit dem Verteilnetzbetreiber. Falls die Bauherrschaft Arealnetzbetreiber ist, erfolgt die Vorabklärung mit einem externen Spezialisten, </w:t>
      </w:r>
      <w:r w:rsidRPr="003C5277">
        <w:rPr>
          <w:rFonts w:cs="Arial"/>
        </w:rPr>
        <w:t>Auskunft erteilt BBL</w:t>
      </w:r>
      <w:r w:rsidR="00551F60" w:rsidRPr="003C5277">
        <w:rPr>
          <w:rFonts w:cs="Arial"/>
        </w:rPr>
        <w:t>-OM</w:t>
      </w:r>
      <w:r w:rsidRPr="003C5277">
        <w:rPr>
          <w:rFonts w:cs="Arial"/>
        </w:rPr>
        <w:t xml:space="preserve"> resp</w:t>
      </w:r>
      <w:r w:rsidRPr="009C23CD">
        <w:rPr>
          <w:rFonts w:cs="Arial"/>
          <w:color w:val="000000" w:themeColor="text1"/>
        </w:rPr>
        <w:t>. BBL</w:t>
      </w:r>
      <w:r w:rsidR="00551F60">
        <w:rPr>
          <w:rFonts w:cs="Arial"/>
          <w:color w:val="000000" w:themeColor="text1"/>
        </w:rPr>
        <w:t>-</w:t>
      </w:r>
      <w:r w:rsidRPr="009C23CD">
        <w:rPr>
          <w:rFonts w:cs="Arial"/>
          <w:color w:val="000000" w:themeColor="text1"/>
        </w:rPr>
        <w:t>FB.</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Dokumentation der veränderten Konzepte und Anlagen wie elektrische Energie</w:t>
      </w:r>
      <w:r w:rsidR="005A5999">
        <w:rPr>
          <w:rFonts w:cs="Arial"/>
          <w:color w:val="000000" w:themeColor="text1"/>
        </w:rPr>
        <w:t xml:space="preserve">- </w:t>
      </w:r>
      <w:r w:rsidRPr="009C23CD">
        <w:rPr>
          <w:rFonts w:cs="Arial"/>
          <w:color w:val="000000" w:themeColor="text1"/>
        </w:rPr>
        <w:t>versorgung, Messkonzept, EMV-Konzept, Blitzschutz, Überspannungsschutz</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 xml:space="preserve">Integration der Messungen in das vorhandene Messsystem </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Aktualisierung der veränderten Dokumente, insbesondere das Prinzipschema der Energieversorgung, das Schema der betroffenen Schaltgeräte</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Koordination des Sicherheitsnachweises der Niederspannungsinstallation gem. NIV</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Bauabschlussdokumentation resp. Schlussbericht  analog Machbarkeitsstudie</w:t>
      </w:r>
    </w:p>
    <w:p w:rsidR="009C23CD" w:rsidRPr="009C23CD" w:rsidRDefault="009C23CD" w:rsidP="009C23CD">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Instruktion des Bedienpersonals (Betrieb, Störung) und der Feuerwehr (Notabschaltung, Gefahren)</w:t>
      </w:r>
    </w:p>
    <w:p w:rsidR="009C23CD" w:rsidRPr="009C23CD" w:rsidRDefault="009C23CD" w:rsidP="009C23CD">
      <w:pPr>
        <w:rPr>
          <w:rFonts w:cs="Arial"/>
          <w:color w:val="000000" w:themeColor="text1"/>
        </w:rPr>
      </w:pPr>
    </w:p>
    <w:p w:rsidR="009C23CD" w:rsidRPr="009C23CD" w:rsidRDefault="009C23CD" w:rsidP="009C23CD">
      <w:pPr>
        <w:rPr>
          <w:rFonts w:cs="Arial"/>
          <w:color w:val="000000" w:themeColor="text1"/>
        </w:rPr>
      </w:pPr>
      <w:r w:rsidRPr="009C23CD">
        <w:rPr>
          <w:rFonts w:cs="Arial"/>
          <w:b/>
          <w:color w:val="000000" w:themeColor="text1"/>
        </w:rPr>
        <w:t xml:space="preserve">Technische Vorgaben der </w:t>
      </w:r>
      <w:r w:rsidRPr="003C5277">
        <w:rPr>
          <w:rFonts w:cs="Arial"/>
          <w:b/>
        </w:rPr>
        <w:t xml:space="preserve">Bauherrschaft </w:t>
      </w:r>
      <w:r w:rsidR="00D22343" w:rsidRPr="003C5277">
        <w:rPr>
          <w:rFonts w:cs="Arial"/>
          <w:b/>
        </w:rPr>
        <w:t>(</w:t>
      </w:r>
      <w:r w:rsidR="00551F60" w:rsidRPr="003C5277">
        <w:rPr>
          <w:rFonts w:cs="Arial"/>
          <w:b/>
        </w:rPr>
        <w:t>BBL-OM</w:t>
      </w:r>
      <w:r w:rsidR="00D22343" w:rsidRPr="003C5277">
        <w:rPr>
          <w:rFonts w:cs="Arial"/>
          <w:b/>
        </w:rPr>
        <w:t xml:space="preserve">) </w:t>
      </w:r>
      <w:r w:rsidRPr="003C5277">
        <w:rPr>
          <w:rFonts w:cs="Arial"/>
          <w:b/>
        </w:rPr>
        <w:t xml:space="preserve">für </w:t>
      </w:r>
      <w:r w:rsidRPr="009C23CD">
        <w:rPr>
          <w:rFonts w:cs="Arial"/>
          <w:b/>
          <w:color w:val="000000" w:themeColor="text1"/>
        </w:rPr>
        <w:t>Photovoltaikanlagen</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Absicht: in der Regel soll bewährte Technik eingesetzt werden. Die Wahl der Modul</w:t>
      </w:r>
      <w:r w:rsidR="003C5277">
        <w:rPr>
          <w:rFonts w:cs="Arial"/>
          <w:color w:val="000000" w:themeColor="text1"/>
        </w:rPr>
        <w:softHyphen/>
      </w:r>
      <w:r w:rsidRPr="009C23CD">
        <w:rPr>
          <w:rFonts w:cs="Arial"/>
          <w:color w:val="000000" w:themeColor="text1"/>
        </w:rPr>
        <w:t>typen erfolgt in der Regel anhand der effizienten Flächennutzung</w:t>
      </w:r>
      <w:r w:rsidR="006B0384">
        <w:rPr>
          <w:rFonts w:cs="Arial"/>
          <w:color w:val="000000" w:themeColor="text1"/>
        </w:rPr>
        <w:t>, garantierten Erträgen</w:t>
      </w:r>
      <w:r w:rsidRPr="009C23CD">
        <w:rPr>
          <w:rFonts w:cs="Arial"/>
          <w:color w:val="000000" w:themeColor="text1"/>
        </w:rPr>
        <w:t xml:space="preserve"> sowie nach günstigen Gestehungskosten. Erfahrungsgemäss verursachen kristalline Module optimale Gestehungskosten (Stand 2013).</w:t>
      </w:r>
    </w:p>
    <w:p w:rsidR="009C23CD" w:rsidRPr="009C23CD" w:rsidRDefault="00EB6249" w:rsidP="003C5277">
      <w:pPr>
        <w:pStyle w:val="Listenabsatz"/>
        <w:numPr>
          <w:ilvl w:val="0"/>
          <w:numId w:val="16"/>
        </w:numPr>
        <w:spacing w:line="276" w:lineRule="auto"/>
        <w:ind w:left="357" w:hanging="357"/>
        <w:rPr>
          <w:rFonts w:cs="Arial"/>
          <w:color w:val="000000" w:themeColor="text1"/>
        </w:rPr>
      </w:pPr>
      <w:r w:rsidRPr="00EB6249">
        <w:rPr>
          <w:rFonts w:cs="Arial"/>
          <w:color w:val="000000" w:themeColor="text1"/>
        </w:rPr>
        <w:t>Normalerweise beansprucht das BBL aus übergeord</w:t>
      </w:r>
      <w:r w:rsidR="003F3A0C">
        <w:rPr>
          <w:rFonts w:cs="Arial"/>
          <w:color w:val="000000" w:themeColor="text1"/>
        </w:rPr>
        <w:t>neten Überlegungen keine Einmal</w:t>
      </w:r>
      <w:r w:rsidRPr="00EB6249">
        <w:rPr>
          <w:rFonts w:cs="Arial"/>
          <w:color w:val="000000" w:themeColor="text1"/>
        </w:rPr>
        <w:t>vergütungen für kleine Photovoltaik-Anlagen gemäss Energieverordnung, Beiträge aus der KEV oder von Solarstrombörsen.</w:t>
      </w:r>
    </w:p>
    <w:p w:rsidR="009C23CD" w:rsidRPr="009C23CD" w:rsidRDefault="009C23CD" w:rsidP="003C5277">
      <w:pPr>
        <w:pStyle w:val="Listenabsatz"/>
        <w:numPr>
          <w:ilvl w:val="0"/>
          <w:numId w:val="16"/>
        </w:numPr>
        <w:spacing w:line="276" w:lineRule="auto"/>
        <w:ind w:left="357" w:hanging="357"/>
        <w:rPr>
          <w:rFonts w:cs="Arial"/>
          <w:color w:val="000000" w:themeColor="text1"/>
        </w:rPr>
      </w:pPr>
      <w:r w:rsidRPr="009C23CD">
        <w:rPr>
          <w:rFonts w:cs="Arial"/>
          <w:color w:val="000000" w:themeColor="text1"/>
        </w:rPr>
        <w:t>Erhaltung und Weiterführung des EMV-Konzeptes sowie des Blitzschutzkonzeptes. Das Blitzschutzzonenkonzept ist aufrecht zu erhalten. Die Übergänge der Blitzschutz</w:t>
      </w:r>
      <w:r w:rsidR="003C5277">
        <w:rPr>
          <w:rFonts w:cs="Arial"/>
          <w:color w:val="000000" w:themeColor="text1"/>
        </w:rPr>
        <w:softHyphen/>
      </w:r>
      <w:r w:rsidRPr="009C23CD">
        <w:rPr>
          <w:rFonts w:cs="Arial"/>
          <w:color w:val="000000" w:themeColor="text1"/>
        </w:rPr>
        <w:t>zonen sind mit Überspannungsschutzelementen auszurüsten, die Überspannungs</w:t>
      </w:r>
      <w:r w:rsidR="003C5277">
        <w:rPr>
          <w:rFonts w:cs="Arial"/>
          <w:color w:val="000000" w:themeColor="text1"/>
        </w:rPr>
        <w:softHyphen/>
      </w:r>
      <w:r w:rsidRPr="009C23CD">
        <w:rPr>
          <w:rFonts w:cs="Arial"/>
          <w:color w:val="000000" w:themeColor="text1"/>
        </w:rPr>
        <w:t xml:space="preserve">schutzelemente </w:t>
      </w:r>
      <w:r w:rsidRPr="009C23CD">
        <w:rPr>
          <w:rFonts w:cs="Arial"/>
          <w:b/>
          <w:color w:val="000000" w:themeColor="text1"/>
          <w:u w:val="single"/>
        </w:rPr>
        <w:t>werden nicht auf das Gebäudeleitsystem</w:t>
      </w:r>
      <w:r w:rsidRPr="009C23CD">
        <w:rPr>
          <w:rFonts w:cs="Arial"/>
          <w:color w:val="000000" w:themeColor="text1"/>
        </w:rPr>
        <w:t xml:space="preserve"> auf geschaltet</w:t>
      </w:r>
    </w:p>
    <w:p w:rsidR="009C23CD" w:rsidRPr="00D97707" w:rsidRDefault="009C23CD" w:rsidP="009C23CD">
      <w:pPr>
        <w:pStyle w:val="Listenabsatz"/>
        <w:numPr>
          <w:ilvl w:val="0"/>
          <w:numId w:val="16"/>
        </w:numPr>
        <w:spacing w:line="276" w:lineRule="auto"/>
        <w:ind w:left="357" w:hanging="357"/>
        <w:rPr>
          <w:rFonts w:cs="Arial"/>
          <w:color w:val="000000" w:themeColor="text1"/>
        </w:rPr>
      </w:pPr>
      <w:r w:rsidRPr="00D97707">
        <w:rPr>
          <w:rFonts w:cs="Arial"/>
          <w:color w:val="000000" w:themeColor="text1"/>
        </w:rPr>
        <w:t xml:space="preserve">Messkonzept: Privatmessungen </w:t>
      </w:r>
      <w:r w:rsidRPr="003C5277">
        <w:rPr>
          <w:rFonts w:cs="Arial"/>
        </w:rPr>
        <w:t xml:space="preserve">nach </w:t>
      </w:r>
      <w:r w:rsidR="00963EAD" w:rsidRPr="003C5277">
        <w:rPr>
          <w:rFonts w:cs="Arial"/>
        </w:rPr>
        <w:t>BBL</w:t>
      </w:r>
      <w:r w:rsidRPr="003C5277">
        <w:rPr>
          <w:rFonts w:cs="Arial"/>
        </w:rPr>
        <w:t>-Messkonzept, besonders</w:t>
      </w:r>
      <w:r w:rsidRPr="003C5277">
        <w:rPr>
          <w:rFonts w:cs="Arial"/>
        </w:rPr>
        <w:br/>
        <w:t>- eine private Produktionsmessung pro Werkvertrag und Gebäude</w:t>
      </w:r>
      <w:r w:rsidRPr="003C5277">
        <w:rPr>
          <w:rFonts w:cs="Arial"/>
        </w:rPr>
        <w:br/>
        <w:t>- eine private Hauptmessung pro Werkvertrag und Gebäude</w:t>
      </w:r>
      <w:r w:rsidRPr="003C5277">
        <w:rPr>
          <w:rFonts w:cs="Arial"/>
        </w:rPr>
        <w:br/>
        <w:t>- in kritischen Anlagen Messung inkl. Aufzeichnung der Netzqualität</w:t>
      </w:r>
      <w:r w:rsidRPr="003C5277">
        <w:rPr>
          <w:rFonts w:cs="Arial"/>
        </w:rPr>
        <w:br/>
        <w:t>- Integration der Messungen in das vorhandene Messsystem</w:t>
      </w:r>
      <w:r w:rsidRPr="003C5277">
        <w:rPr>
          <w:rFonts w:cs="Arial"/>
        </w:rPr>
        <w:br/>
      </w:r>
      <w:r w:rsidRPr="003C5277">
        <w:rPr>
          <w:rFonts w:cs="Arial"/>
        </w:rPr>
        <w:lastRenderedPageBreak/>
        <w:t>- Fabrikatvorgabe der Messung gem. BBL</w:t>
      </w:r>
      <w:r w:rsidR="0028560D" w:rsidRPr="003C5277">
        <w:rPr>
          <w:rFonts w:cs="Arial"/>
        </w:rPr>
        <w:t>-OM</w:t>
      </w:r>
      <w:r w:rsidRPr="003C5277">
        <w:rPr>
          <w:rFonts w:cs="Arial"/>
        </w:rPr>
        <w:t>, resp. BBL</w:t>
      </w:r>
      <w:r w:rsidR="0028560D" w:rsidRPr="003C5277">
        <w:rPr>
          <w:rFonts w:cs="Arial"/>
        </w:rPr>
        <w:t>-</w:t>
      </w:r>
      <w:r w:rsidRPr="003C5277">
        <w:rPr>
          <w:rFonts w:cs="Arial"/>
        </w:rPr>
        <w:t>FB</w:t>
      </w:r>
      <w:r w:rsidR="007815E9" w:rsidRPr="00D97707">
        <w:rPr>
          <w:rFonts w:cs="Arial"/>
          <w:color w:val="000000" w:themeColor="text1"/>
        </w:rPr>
        <w:br/>
      </w:r>
    </w:p>
    <w:p w:rsidR="009E5A33" w:rsidRDefault="009C23CD" w:rsidP="003C5277">
      <w:pPr>
        <w:pStyle w:val="Listenabsatz"/>
        <w:numPr>
          <w:ilvl w:val="0"/>
          <w:numId w:val="16"/>
        </w:numPr>
        <w:spacing w:line="276" w:lineRule="auto"/>
        <w:ind w:left="357" w:hanging="357"/>
        <w:rPr>
          <w:rFonts w:cs="Arial"/>
          <w:color w:val="000000" w:themeColor="text1"/>
        </w:rPr>
      </w:pPr>
      <w:r w:rsidRPr="007815E9">
        <w:rPr>
          <w:rFonts w:cs="Arial"/>
          <w:color w:val="000000" w:themeColor="text1"/>
        </w:rPr>
        <w:t xml:space="preserve">Werkmessungen </w:t>
      </w:r>
      <w:r w:rsidR="00446BE7">
        <w:rPr>
          <w:rFonts w:cs="Arial"/>
          <w:color w:val="000000" w:themeColor="text1"/>
        </w:rPr>
        <w:t xml:space="preserve">erfolgen </w:t>
      </w:r>
      <w:r w:rsidRPr="007815E9">
        <w:rPr>
          <w:rFonts w:cs="Arial"/>
          <w:color w:val="000000" w:themeColor="text1"/>
        </w:rPr>
        <w:t>nach Werkvorschrift sowie nach Auflage des Verteilnetz</w:t>
      </w:r>
      <w:r w:rsidR="003C5277">
        <w:rPr>
          <w:rFonts w:cs="Arial"/>
          <w:color w:val="000000" w:themeColor="text1"/>
        </w:rPr>
        <w:softHyphen/>
      </w:r>
      <w:r w:rsidRPr="007815E9">
        <w:rPr>
          <w:rFonts w:cs="Arial"/>
          <w:color w:val="000000" w:themeColor="text1"/>
        </w:rPr>
        <w:t>betreibers. Beabsichtigt wird das Messprinzip der Überschussmessung. Die Lastgang</w:t>
      </w:r>
      <w:r w:rsidR="003C5277">
        <w:rPr>
          <w:rFonts w:cs="Arial"/>
          <w:color w:val="000000" w:themeColor="text1"/>
        </w:rPr>
        <w:softHyphen/>
      </w:r>
      <w:r w:rsidRPr="007815E9">
        <w:rPr>
          <w:rFonts w:cs="Arial"/>
          <w:color w:val="000000" w:themeColor="text1"/>
        </w:rPr>
        <w:t xml:space="preserve">messung ist </w:t>
      </w:r>
      <w:r w:rsidR="00446BE7">
        <w:rPr>
          <w:rFonts w:cs="Arial"/>
          <w:color w:val="000000" w:themeColor="text1"/>
        </w:rPr>
        <w:t xml:space="preserve">nach </w:t>
      </w:r>
      <w:r w:rsidR="00446BE7" w:rsidRPr="009C23CD">
        <w:rPr>
          <w:rFonts w:cs="Arial"/>
          <w:color w:val="000000" w:themeColor="text1"/>
        </w:rPr>
        <w:t xml:space="preserve">HKNV (SR 730.010.1) </w:t>
      </w:r>
      <w:r w:rsidRPr="007815E9">
        <w:rPr>
          <w:rFonts w:cs="Arial"/>
          <w:color w:val="000000" w:themeColor="text1"/>
        </w:rPr>
        <w:t>ab 30 kVA in jedem Fall einzurichten. Beabsichtigt ist eine einzige HKN-Messung pro Gebäude.</w:t>
      </w:r>
    </w:p>
    <w:p w:rsidR="009C23CD" w:rsidRPr="00C37261" w:rsidRDefault="009C23CD" w:rsidP="009C23CD">
      <w:pPr>
        <w:pStyle w:val="Listenabsatz"/>
        <w:numPr>
          <w:ilvl w:val="0"/>
          <w:numId w:val="16"/>
        </w:numPr>
        <w:spacing w:line="276" w:lineRule="auto"/>
        <w:ind w:left="357" w:hanging="357"/>
        <w:rPr>
          <w:rFonts w:cs="Arial"/>
          <w:color w:val="000000" w:themeColor="text1"/>
        </w:rPr>
      </w:pPr>
      <w:r w:rsidRPr="003C5277">
        <w:rPr>
          <w:rFonts w:cs="Arial"/>
        </w:rPr>
        <w:t xml:space="preserve">Bezüglich </w:t>
      </w:r>
      <w:r w:rsidR="00C37261" w:rsidRPr="003C5277">
        <w:rPr>
          <w:rFonts w:cs="Arial"/>
        </w:rPr>
        <w:t>ESTI-</w:t>
      </w:r>
      <w:r w:rsidRPr="003C5277">
        <w:rPr>
          <w:rFonts w:cs="Arial"/>
        </w:rPr>
        <w:t>Planvorlage</w:t>
      </w:r>
      <w:r w:rsidR="009E5A33" w:rsidRPr="003C5277">
        <w:rPr>
          <w:rFonts w:cs="Arial"/>
        </w:rPr>
        <w:t>, Sicherheitsnachweis und Herkunftsnachweis</w:t>
      </w:r>
      <w:r w:rsidRPr="003C5277">
        <w:rPr>
          <w:rFonts w:cs="Arial"/>
        </w:rPr>
        <w:t xml:space="preserve"> ist folgende Kontaktadresse anzugeben:</w:t>
      </w:r>
      <w:r w:rsidRPr="003C5277">
        <w:rPr>
          <w:rFonts w:cs="Arial"/>
          <w:i/>
        </w:rPr>
        <w:br/>
      </w:r>
      <w:r w:rsidRPr="00C37261">
        <w:rPr>
          <w:rFonts w:cs="Arial"/>
          <w:i/>
          <w:color w:val="000000" w:themeColor="text1"/>
        </w:rPr>
        <w:t>Schweizerische Eidgenossenschaft, vertreten durch</w:t>
      </w:r>
      <w:r w:rsidRPr="00C37261">
        <w:rPr>
          <w:rFonts w:cs="Arial"/>
          <w:i/>
          <w:color w:val="000000" w:themeColor="text1"/>
        </w:rPr>
        <w:br/>
        <w:t>Eidgenössisches Finanzdepartement – EFD</w:t>
      </w:r>
      <w:r w:rsidRPr="00C37261">
        <w:rPr>
          <w:rFonts w:cs="Arial"/>
          <w:i/>
          <w:color w:val="000000" w:themeColor="text1"/>
        </w:rPr>
        <w:br/>
        <w:t xml:space="preserve">Bundesamt für Bauten und Logistik - BBL </w:t>
      </w:r>
      <w:r w:rsidRPr="00C37261">
        <w:rPr>
          <w:rFonts w:cs="Arial"/>
          <w:i/>
          <w:color w:val="000000" w:themeColor="text1"/>
        </w:rPr>
        <w:br/>
        <w:t>Objekt</w:t>
      </w:r>
      <w:r w:rsidR="007815E9" w:rsidRPr="00C37261">
        <w:rPr>
          <w:rFonts w:cs="Arial"/>
          <w:i/>
          <w:color w:val="000000" w:themeColor="text1"/>
        </w:rPr>
        <w:t>management</w:t>
      </w:r>
      <w:r w:rsidR="007815E9" w:rsidRPr="00C37261">
        <w:rPr>
          <w:rFonts w:cs="Arial"/>
          <w:i/>
          <w:color w:val="000000" w:themeColor="text1"/>
        </w:rPr>
        <w:br/>
      </w:r>
      <w:r w:rsidRPr="00C37261">
        <w:rPr>
          <w:rFonts w:cs="Arial"/>
          <w:i/>
          <w:color w:val="000000" w:themeColor="text1"/>
        </w:rPr>
        <w:t>Fellerstrasse 21</w:t>
      </w:r>
      <w:r w:rsidRPr="00C37261">
        <w:rPr>
          <w:rFonts w:cs="Arial"/>
          <w:i/>
          <w:color w:val="000000" w:themeColor="text1"/>
        </w:rPr>
        <w:br/>
        <w:t>3003 Bern</w:t>
      </w:r>
    </w:p>
    <w:p w:rsidR="009C23CD" w:rsidRPr="003C5277" w:rsidRDefault="009C23CD" w:rsidP="005A5999">
      <w:pPr>
        <w:pStyle w:val="Listenabsatz"/>
        <w:numPr>
          <w:ilvl w:val="0"/>
          <w:numId w:val="16"/>
        </w:numPr>
        <w:spacing w:line="276" w:lineRule="auto"/>
        <w:ind w:left="357" w:hanging="357"/>
        <w:jc w:val="both"/>
        <w:rPr>
          <w:rFonts w:cs="Arial"/>
        </w:rPr>
      </w:pPr>
      <w:r w:rsidRPr="009C23CD">
        <w:rPr>
          <w:rFonts w:cs="Arial"/>
          <w:color w:val="000000" w:themeColor="text1"/>
        </w:rPr>
        <w:t xml:space="preserve">Erweiterung und Umsetzung </w:t>
      </w:r>
      <w:r w:rsidR="00DA69B9" w:rsidRPr="003C5277">
        <w:rPr>
          <w:rFonts w:cs="Arial"/>
        </w:rPr>
        <w:t>nach BBL-</w:t>
      </w:r>
      <w:r w:rsidRPr="003C5277">
        <w:rPr>
          <w:rFonts w:cs="Arial"/>
        </w:rPr>
        <w:t>Kennzeichnungskonzept. Schaltschränke und Wechselrichter werden gekennzeichnet und beschriftet. Die PV-Module werden vollständig gekennzeichnet und an den Anschlusspunkten beschriftet.</w:t>
      </w:r>
      <w:r w:rsidRPr="003C5277">
        <w:rPr>
          <w:rFonts w:cs="Arial"/>
        </w:rPr>
        <w:br/>
        <w:t>Im Plan der Modullayouts sind sämtliche Module zu kennzeichnen.</w:t>
      </w:r>
    </w:p>
    <w:p w:rsidR="00C45470" w:rsidRPr="003C5277" w:rsidRDefault="009C23CD" w:rsidP="005A5999">
      <w:pPr>
        <w:pStyle w:val="Listenabsatz"/>
        <w:numPr>
          <w:ilvl w:val="0"/>
          <w:numId w:val="16"/>
        </w:numPr>
        <w:spacing w:line="276" w:lineRule="auto"/>
        <w:ind w:left="357" w:hanging="357"/>
        <w:jc w:val="both"/>
        <w:rPr>
          <w:rFonts w:cs="Arial"/>
        </w:rPr>
      </w:pPr>
      <w:r w:rsidRPr="003C5277">
        <w:rPr>
          <w:rFonts w:cs="Arial"/>
        </w:rPr>
        <w:t>Freischaltungen der Energieversorgung ganzer Gebäude erfolgen nur unter rechtzeitiger Voranmeldung. Die Voranmeldefrist beträgt erfahrungsgemäss ca. 4 Wochen.</w:t>
      </w:r>
    </w:p>
    <w:p w:rsidR="009C23CD" w:rsidRPr="00C45470" w:rsidRDefault="009C23CD" w:rsidP="005A5999">
      <w:pPr>
        <w:pStyle w:val="Listenabsatz"/>
        <w:numPr>
          <w:ilvl w:val="0"/>
          <w:numId w:val="16"/>
        </w:numPr>
        <w:spacing w:line="276" w:lineRule="auto"/>
        <w:ind w:left="357" w:hanging="357"/>
        <w:jc w:val="both"/>
        <w:rPr>
          <w:rFonts w:cs="Arial"/>
          <w:color w:val="000000" w:themeColor="text1"/>
        </w:rPr>
      </w:pPr>
      <w:r w:rsidRPr="003C5277">
        <w:rPr>
          <w:rFonts w:cs="Arial"/>
        </w:rPr>
        <w:t xml:space="preserve">Eine Freischaltung darf nur unter Zustimmung des </w:t>
      </w:r>
      <w:r w:rsidR="00281189" w:rsidRPr="003C5277">
        <w:rPr>
          <w:rFonts w:cs="Arial"/>
        </w:rPr>
        <w:t>BBL-OM</w:t>
      </w:r>
      <w:r w:rsidR="00C45470" w:rsidRPr="003C5277">
        <w:rPr>
          <w:rFonts w:cs="Arial"/>
        </w:rPr>
        <w:t xml:space="preserve"> </w:t>
      </w:r>
      <w:r w:rsidRPr="003C5277">
        <w:rPr>
          <w:rFonts w:cs="Arial"/>
        </w:rPr>
        <w:t xml:space="preserve">sowie des Objektnutzers erfolgen. Unabhängig der Dauer der Freischaltung ist die Zustimmung der </w:t>
      </w:r>
      <w:r w:rsidRPr="00C45470">
        <w:rPr>
          <w:rFonts w:cs="Arial"/>
          <w:color w:val="000000" w:themeColor="text1"/>
        </w:rPr>
        <w:t>zuständigen externen Stellen für Sicherheit, Alarmierung, Telekommunikation und für Informatik einzuholen.</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Visualisierung der Stromproduktion nach Vorgaben der Projektleitung, mitentscheidend sind die Betriebskosten der technischen Lösung. Die Visualisierung kann in der Regel beim Haupteingang des Gebäudes angebracht. Dargestellt werden bedarfsweise die Anlagedaten, die aktuelle Stromproduktion, der aktuelle energetische Deckungsgrad oder die jeweiligen Jahresdurchschnittswerte.</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Bezüglich Nachhaltigkeit wird eine Systemtrennung bevorzugt. Bei Dachintegrierten- und oder Fassadenintegrierten Lösungen ist eine Risikobeurteilung bezüglich Frühausfall und Reparaturaufwand durchzuführen.</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Auf Dachflächen ist eine Absturzsicherung nach den Vorgaben der SUVA vorzusehen.</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Ein permanent nutzbarer Dachzugang nach den Vorgaben der SUVA ist vorzusehen.</w:t>
      </w: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Monitoring: die Aufschaltung erfolgt einheitlich auf die Überwachungsplattform www.solar-log.ch. Aus Kosten- und Sicherheitsgründen wird die Installation eines GSM-Anschlusses gewählt (Anforderung der Übertragung UMTS/GPRS).</w:t>
      </w:r>
      <w:r w:rsidRPr="009C23CD">
        <w:rPr>
          <w:rFonts w:cs="Arial"/>
          <w:color w:val="000000" w:themeColor="text1"/>
        </w:rPr>
        <w:br/>
        <w:t xml:space="preserve">Mit der Anlageinstallation soll auch die GSM-Übertragungseinrichtung </w:t>
      </w:r>
      <w:r w:rsidRPr="003C5277">
        <w:rPr>
          <w:rFonts w:cs="Arial"/>
        </w:rPr>
        <w:t>zulasten der Bauherrschaft installiert werden. Der GSM-Empfang ist vorgängig zu prüfen. BBL-</w:t>
      </w:r>
      <w:r w:rsidR="00551F60" w:rsidRPr="003C5277">
        <w:rPr>
          <w:rFonts w:cs="Arial"/>
        </w:rPr>
        <w:t>OM</w:t>
      </w:r>
      <w:r w:rsidRPr="003C5277">
        <w:rPr>
          <w:rFonts w:cs="Arial"/>
        </w:rPr>
        <w:t xml:space="preserve"> </w:t>
      </w:r>
      <w:r w:rsidRPr="009C23CD">
        <w:rPr>
          <w:rFonts w:cs="Arial"/>
          <w:color w:val="000000" w:themeColor="text1"/>
        </w:rPr>
        <w:t>besorgt die SIM-Karte intern und gibt die dem Unternehmer ab.</w:t>
      </w:r>
      <w:r w:rsidRPr="009C23CD">
        <w:rPr>
          <w:rFonts w:cs="Arial"/>
          <w:color w:val="000000" w:themeColor="text1"/>
        </w:rPr>
        <w:br/>
      </w:r>
      <w:r w:rsidRPr="009C23CD">
        <w:rPr>
          <w:rFonts w:cs="Arial"/>
          <w:color w:val="000000" w:themeColor="text1"/>
        </w:rPr>
        <w:br/>
        <w:t>Während der Rügefrist (bis zum Ablauf der Werkgarantie):</w:t>
      </w:r>
      <w:r w:rsidRPr="009C23CD">
        <w:rPr>
          <w:rFonts w:cs="Arial"/>
          <w:color w:val="000000" w:themeColor="text1"/>
        </w:rPr>
        <w:br/>
        <w:t>- nimmt der Unternehmer die SIM-Karte in Betrieb</w:t>
      </w:r>
      <w:r w:rsidR="005A5999">
        <w:rPr>
          <w:rFonts w:cs="Arial"/>
          <w:color w:val="000000" w:themeColor="text1"/>
        </w:rPr>
        <w:tab/>
      </w:r>
      <w:r w:rsidRPr="009C23CD">
        <w:rPr>
          <w:rFonts w:cs="Arial"/>
          <w:color w:val="000000" w:themeColor="text1"/>
        </w:rPr>
        <w:br/>
        <w:t>- betr</w:t>
      </w:r>
      <w:r w:rsidR="00136BFF">
        <w:rPr>
          <w:rFonts w:cs="Arial"/>
          <w:color w:val="000000" w:themeColor="text1"/>
        </w:rPr>
        <w:t>e</w:t>
      </w:r>
      <w:r w:rsidRPr="009C23CD">
        <w:rPr>
          <w:rFonts w:cs="Arial"/>
          <w:color w:val="000000" w:themeColor="text1"/>
        </w:rPr>
        <w:t>ibt und überwacht der Unternehmer die GSM-Übertragungseinrichtung</w:t>
      </w:r>
      <w:r w:rsidR="005A5999">
        <w:rPr>
          <w:rFonts w:cs="Arial"/>
          <w:color w:val="000000" w:themeColor="text1"/>
        </w:rPr>
        <w:tab/>
      </w:r>
      <w:r w:rsidRPr="009C23CD">
        <w:rPr>
          <w:rFonts w:cs="Arial"/>
          <w:color w:val="000000" w:themeColor="text1"/>
        </w:rPr>
        <w:br/>
      </w:r>
      <w:r w:rsidRPr="009C23CD">
        <w:rPr>
          <w:rFonts w:cs="Arial"/>
          <w:color w:val="000000" w:themeColor="text1"/>
        </w:rPr>
        <w:lastRenderedPageBreak/>
        <w:t>- betr</w:t>
      </w:r>
      <w:r w:rsidR="00A12F49">
        <w:rPr>
          <w:rFonts w:cs="Arial"/>
          <w:color w:val="000000" w:themeColor="text1"/>
        </w:rPr>
        <w:t>e</w:t>
      </w:r>
      <w:r w:rsidRPr="009C23CD">
        <w:rPr>
          <w:rFonts w:cs="Arial"/>
          <w:color w:val="000000" w:themeColor="text1"/>
        </w:rPr>
        <w:t>ibt der Unternehmer den Portalzugang zur Überwachungsplattform</w:t>
      </w:r>
      <w:r w:rsidR="005A5999">
        <w:rPr>
          <w:rFonts w:cs="Arial"/>
          <w:color w:val="000000" w:themeColor="text1"/>
        </w:rPr>
        <w:tab/>
      </w:r>
      <w:r w:rsidRPr="009C23CD">
        <w:rPr>
          <w:rFonts w:cs="Arial"/>
          <w:color w:val="000000" w:themeColor="text1"/>
        </w:rPr>
        <w:br/>
        <w:t>- überwacht der Unternehmer die Photovoltaikanlage sowie die Datenverbindung</w:t>
      </w:r>
      <w:r w:rsidR="005A5999">
        <w:rPr>
          <w:rFonts w:cs="Arial"/>
          <w:color w:val="000000" w:themeColor="text1"/>
        </w:rPr>
        <w:tab/>
      </w:r>
      <w:r w:rsidRPr="009C23CD">
        <w:rPr>
          <w:rFonts w:cs="Arial"/>
          <w:color w:val="000000" w:themeColor="text1"/>
        </w:rPr>
        <w:br/>
        <w:t>- behebt der Unternehmer Mängel im Interesse der Gewährleistung.</w:t>
      </w:r>
      <w:r w:rsidR="005A5999">
        <w:rPr>
          <w:rFonts w:cs="Arial"/>
          <w:color w:val="000000" w:themeColor="text1"/>
        </w:rPr>
        <w:tab/>
      </w:r>
      <w:r w:rsidRPr="009C23CD">
        <w:rPr>
          <w:rFonts w:cs="Arial"/>
          <w:color w:val="000000" w:themeColor="text1"/>
        </w:rPr>
        <w:br/>
      </w:r>
      <w:r w:rsidRPr="009C23CD">
        <w:rPr>
          <w:rFonts w:cs="Arial"/>
          <w:color w:val="000000" w:themeColor="text1"/>
        </w:rPr>
        <w:br/>
        <w:t>Nach Ablauf der Rügefrist:</w:t>
      </w:r>
      <w:r w:rsidR="005A5999">
        <w:rPr>
          <w:rFonts w:cs="Arial"/>
          <w:color w:val="000000" w:themeColor="text1"/>
        </w:rPr>
        <w:tab/>
      </w:r>
      <w:r w:rsidRPr="009C23CD">
        <w:rPr>
          <w:rFonts w:cs="Arial"/>
          <w:color w:val="000000" w:themeColor="text1"/>
        </w:rPr>
        <w:br/>
        <w:t xml:space="preserve">- </w:t>
      </w:r>
      <w:r w:rsidRPr="003C5277">
        <w:rPr>
          <w:rFonts w:cs="Arial"/>
        </w:rPr>
        <w:t>bestimmt BBL-</w:t>
      </w:r>
      <w:r w:rsidR="00551F60" w:rsidRPr="003C5277">
        <w:rPr>
          <w:rFonts w:cs="Arial"/>
        </w:rPr>
        <w:t>OM</w:t>
      </w:r>
      <w:r w:rsidRPr="003C5277">
        <w:rPr>
          <w:rFonts w:cs="Arial"/>
        </w:rPr>
        <w:t xml:space="preserve"> einen Betreiber der Überwachungsplattform</w:t>
      </w:r>
      <w:r w:rsidR="005A5999" w:rsidRPr="003C5277">
        <w:rPr>
          <w:rFonts w:cs="Arial"/>
        </w:rPr>
        <w:tab/>
      </w:r>
      <w:r w:rsidRPr="003C5277">
        <w:rPr>
          <w:rFonts w:cs="Arial"/>
        </w:rPr>
        <w:br/>
        <w:t>- regelt BBL-</w:t>
      </w:r>
      <w:r w:rsidR="00551F60" w:rsidRPr="003C5277">
        <w:rPr>
          <w:rFonts w:cs="Arial"/>
        </w:rPr>
        <w:t>OM</w:t>
      </w:r>
      <w:r w:rsidRPr="003C5277">
        <w:rPr>
          <w:rFonts w:cs="Arial"/>
        </w:rPr>
        <w:t xml:space="preserve"> den Portalzugang zur Überwachungsplattform</w:t>
      </w:r>
      <w:r w:rsidR="005A5999" w:rsidRPr="003C5277">
        <w:rPr>
          <w:rFonts w:cs="Arial"/>
        </w:rPr>
        <w:tab/>
      </w:r>
      <w:r w:rsidRPr="003C5277">
        <w:rPr>
          <w:rFonts w:cs="Arial"/>
        </w:rPr>
        <w:br/>
        <w:t>- regelt BBL-</w:t>
      </w:r>
      <w:r w:rsidR="00551F60" w:rsidRPr="003C5277">
        <w:rPr>
          <w:rFonts w:cs="Arial"/>
        </w:rPr>
        <w:t>OM</w:t>
      </w:r>
      <w:r w:rsidRPr="003C5277">
        <w:rPr>
          <w:rFonts w:cs="Arial"/>
        </w:rPr>
        <w:t xml:space="preserve"> die Anlageüberwachung</w:t>
      </w:r>
      <w:r w:rsidR="005A5999" w:rsidRPr="003C5277">
        <w:rPr>
          <w:rFonts w:cs="Arial"/>
        </w:rPr>
        <w:tab/>
      </w:r>
      <w:r w:rsidRPr="003C5277">
        <w:rPr>
          <w:rFonts w:cs="Arial"/>
        </w:rPr>
        <w:br/>
        <w:t>- beseitigt BBL-</w:t>
      </w:r>
      <w:r w:rsidR="00551F60" w:rsidRPr="003C5277">
        <w:rPr>
          <w:rFonts w:cs="Arial"/>
        </w:rPr>
        <w:t>OM</w:t>
      </w:r>
      <w:r w:rsidRPr="003C5277">
        <w:rPr>
          <w:rFonts w:cs="Arial"/>
        </w:rPr>
        <w:t xml:space="preserve"> allfällige Mängel </w:t>
      </w:r>
      <w:r w:rsidRPr="009C23CD">
        <w:rPr>
          <w:rFonts w:cs="Arial"/>
          <w:color w:val="000000" w:themeColor="text1"/>
        </w:rPr>
        <w:t>im Sinne der Eigentümerinteressen</w:t>
      </w:r>
      <w:r w:rsidR="005A5999">
        <w:rPr>
          <w:rFonts w:cs="Arial"/>
          <w:color w:val="000000" w:themeColor="text1"/>
        </w:rPr>
        <w:tab/>
      </w:r>
    </w:p>
    <w:p w:rsidR="009C23CD" w:rsidRPr="009C23CD" w:rsidRDefault="009C23CD" w:rsidP="009C23CD">
      <w:pPr>
        <w:spacing w:line="276" w:lineRule="auto"/>
        <w:rPr>
          <w:rFonts w:cs="Arial"/>
          <w:color w:val="000000" w:themeColor="text1"/>
        </w:rPr>
      </w:pPr>
    </w:p>
    <w:p w:rsidR="009C23CD" w:rsidRPr="009C23CD" w:rsidRDefault="009C23CD" w:rsidP="005A5999">
      <w:pPr>
        <w:pStyle w:val="Listenabsatz"/>
        <w:numPr>
          <w:ilvl w:val="0"/>
          <w:numId w:val="16"/>
        </w:numPr>
        <w:spacing w:line="276" w:lineRule="auto"/>
        <w:ind w:left="357" w:hanging="357"/>
        <w:jc w:val="both"/>
        <w:rPr>
          <w:rFonts w:cs="Arial"/>
          <w:color w:val="000000" w:themeColor="text1"/>
        </w:rPr>
      </w:pPr>
      <w:proofErr w:type="gramStart"/>
      <w:r w:rsidRPr="009C23CD">
        <w:rPr>
          <w:rFonts w:cs="Arial"/>
          <w:color w:val="000000" w:themeColor="text1"/>
        </w:rPr>
        <w:t>Erstinstallation und Gebühren der SIM-Karte:</w:t>
      </w:r>
      <w:r w:rsidR="005A5999">
        <w:rPr>
          <w:rFonts w:cs="Arial"/>
          <w:color w:val="000000" w:themeColor="text1"/>
        </w:rPr>
        <w:tab/>
      </w:r>
      <w:r w:rsidRPr="009C23CD">
        <w:rPr>
          <w:rFonts w:cs="Arial"/>
          <w:color w:val="000000" w:themeColor="text1"/>
        </w:rPr>
        <w:br/>
        <w:t>Da es sich bei der Jahresgebühr sowie bei den Gebühren der SIM-Karte um kleine Beträge handelt und eine Mutation einen eher unverhältnismässig hohen Aufwand bedeuten würde (SIM-Karte CHF 11.00 pro Monat / Jahresgebühr Portalzugang zur Überwachungsplattform ca. CHF 150.- pro Jahr), soll die Objektverantwortung  die SIM-Karte zur Verfügung stellen und den Portalzugang zur Überwachungsplattform auf seinen Namen eröffnen lassen</w:t>
      </w:r>
      <w:r w:rsidR="005A5999">
        <w:rPr>
          <w:rFonts w:cs="Arial"/>
          <w:color w:val="000000" w:themeColor="text1"/>
        </w:rPr>
        <w:t xml:space="preserve">. </w:t>
      </w:r>
      <w:r w:rsidR="005A5999">
        <w:rPr>
          <w:rFonts w:cs="Arial"/>
          <w:color w:val="000000" w:themeColor="text1"/>
        </w:rPr>
        <w:tab/>
      </w:r>
      <w:proofErr w:type="gramEnd"/>
      <w:r w:rsidR="005A5999">
        <w:rPr>
          <w:rFonts w:cs="Arial"/>
          <w:color w:val="000000" w:themeColor="text1"/>
        </w:rPr>
        <w:br/>
      </w:r>
      <w:r w:rsidRPr="009C23CD">
        <w:rPr>
          <w:rFonts w:cs="Arial"/>
          <w:color w:val="000000" w:themeColor="text1"/>
        </w:rPr>
        <w:t>Falls</w:t>
      </w:r>
      <w:r w:rsidR="005A5999">
        <w:rPr>
          <w:rFonts w:cs="Arial"/>
          <w:color w:val="000000" w:themeColor="text1"/>
        </w:rPr>
        <w:t xml:space="preserve"> </w:t>
      </w:r>
      <w:r w:rsidRPr="009C23CD">
        <w:rPr>
          <w:rFonts w:cs="Arial"/>
          <w:color w:val="000000" w:themeColor="text1"/>
        </w:rPr>
        <w:t>der GSM-Empfang nicht funktionieren sollte, können alternative Anbindungen an die Überwachungsplattform gewählt werden.</w:t>
      </w:r>
      <w:r w:rsidR="005A5999">
        <w:rPr>
          <w:rFonts w:cs="Arial"/>
          <w:color w:val="000000" w:themeColor="text1"/>
        </w:rPr>
        <w:tab/>
      </w:r>
      <w:r w:rsidRPr="009C23CD">
        <w:rPr>
          <w:rFonts w:cs="Arial"/>
          <w:color w:val="000000" w:themeColor="text1"/>
        </w:rPr>
        <w:br/>
      </w:r>
    </w:p>
    <w:p w:rsidR="005B40D7" w:rsidRPr="003C5277" w:rsidRDefault="009C23CD" w:rsidP="003C5277">
      <w:pPr>
        <w:pStyle w:val="Listenabsatz"/>
        <w:numPr>
          <w:ilvl w:val="0"/>
          <w:numId w:val="16"/>
        </w:numPr>
        <w:spacing w:line="276" w:lineRule="auto"/>
        <w:ind w:left="357" w:hanging="357"/>
        <w:jc w:val="both"/>
        <w:rPr>
          <w:rFonts w:cs="Arial"/>
          <w:color w:val="000000" w:themeColor="text1"/>
        </w:rPr>
      </w:pPr>
      <w:r w:rsidRPr="009C23CD">
        <w:rPr>
          <w:rFonts w:cs="Arial"/>
          <w:color w:val="000000" w:themeColor="text1"/>
        </w:rPr>
        <w:t>Es wird kein Wartungsvertrag abgeschlossen.</w:t>
      </w:r>
      <w:r w:rsidR="005A5999">
        <w:rPr>
          <w:rFonts w:cs="Arial"/>
          <w:color w:val="000000" w:themeColor="text1"/>
        </w:rPr>
        <w:tab/>
      </w:r>
      <w:r w:rsidRPr="009C23CD">
        <w:rPr>
          <w:rFonts w:cs="Arial"/>
          <w:color w:val="000000" w:themeColor="text1"/>
        </w:rPr>
        <w:br/>
        <w:t xml:space="preserve">Nach Ablauf der Rügefrist </w:t>
      </w:r>
      <w:r w:rsidRPr="003C5277">
        <w:rPr>
          <w:rFonts w:cs="Arial"/>
        </w:rPr>
        <w:t xml:space="preserve">wird </w:t>
      </w:r>
      <w:r w:rsidR="00D26D62" w:rsidRPr="003C5277">
        <w:rPr>
          <w:rFonts w:cs="Arial"/>
        </w:rPr>
        <w:t>BBL-OM</w:t>
      </w:r>
      <w:r w:rsidRPr="003C5277">
        <w:rPr>
          <w:rFonts w:cs="Arial"/>
        </w:rPr>
        <w:t xml:space="preserve"> den Betrieb festlegen, Meldungen vom Portalzugang zu einer Überwachungsplattform gehen </w:t>
      </w:r>
      <w:r w:rsidRPr="009C23CD">
        <w:rPr>
          <w:rFonts w:cs="Arial"/>
          <w:color w:val="000000" w:themeColor="text1"/>
        </w:rPr>
        <w:t>an eine zentrale Anlaufstelle (z.B. an _BBL-SupportOBB [supportobb@bbl.admin.ch]). Bei einem ungünstigen Verhältnis des finanziellen Ertrages zu den Wartungsgebühren wird auf ein Wartungsabonnement verzichtet, d.h. es wird kein Wartungsvertrag abgeschlossen.</w:t>
      </w:r>
    </w:p>
    <w:sectPr w:rsidR="005B40D7" w:rsidRPr="003C5277" w:rsidSect="0038372E">
      <w:headerReference w:type="even" r:id="rId8"/>
      <w:headerReference w:type="default" r:id="rId9"/>
      <w:footerReference w:type="even" r:id="rId10"/>
      <w:footerReference w:type="default" r:id="rId11"/>
      <w:headerReference w:type="first" r:id="rId12"/>
      <w:footerReference w:type="first" r:id="rId13"/>
      <w:pgSz w:w="11906" w:h="16838" w:code="9"/>
      <w:pgMar w:top="794" w:right="1134"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3CD" w:rsidRDefault="009C23CD">
      <w:r>
        <w:separator/>
      </w:r>
    </w:p>
  </w:endnote>
  <w:endnote w:type="continuationSeparator" w:id="0">
    <w:p w:rsidR="009C23CD" w:rsidRDefault="009C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7D" w:rsidRDefault="00AA38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3CD" w:rsidRPr="00B0700F" w:rsidRDefault="00620D6D" w:rsidP="00B0700F">
    <w:pPr>
      <w:pStyle w:val="Fuzeile"/>
      <w:tabs>
        <w:tab w:val="clear" w:pos="4536"/>
        <w:tab w:val="clear" w:pos="9072"/>
        <w:tab w:val="right" w:pos="9900"/>
      </w:tabs>
      <w:ind w:left="180"/>
      <w:rPr>
        <w:sz w:val="16"/>
        <w:szCs w:val="16"/>
      </w:rPr>
    </w:pPr>
    <w:r w:rsidRPr="00620D6D">
      <w:rPr>
        <w:sz w:val="15"/>
        <w:szCs w:val="15"/>
      </w:rPr>
      <w:t>O:\Quer\00Prozessdokumente\K1_Projektmanagement\K1P90_Fachberatung\</w:t>
    </w:r>
    <w:r w:rsidR="009C23CD" w:rsidRPr="00620D6D">
      <w:rPr>
        <w:sz w:val="15"/>
        <w:szCs w:val="15"/>
      </w:rPr>
      <w:t>K1P90_C</w:t>
    </w:r>
    <w:r w:rsidR="003C5277" w:rsidRPr="00620D6D">
      <w:rPr>
        <w:sz w:val="15"/>
        <w:szCs w:val="15"/>
      </w:rPr>
      <w:t>15</w:t>
    </w:r>
    <w:r w:rsidR="009C23CD" w:rsidRPr="00620D6D">
      <w:rPr>
        <w:sz w:val="15"/>
        <w:szCs w:val="15"/>
      </w:rPr>
      <w:t>d_</w:t>
    </w:r>
    <w:r w:rsidR="00D75F0A" w:rsidRPr="00620D6D">
      <w:rPr>
        <w:sz w:val="15"/>
        <w:szCs w:val="15"/>
      </w:rPr>
      <w:t>Bau von Photovoltaikanlagen</w:t>
    </w:r>
    <w:r w:rsidR="003C5277" w:rsidRPr="00620D6D">
      <w:rPr>
        <w:sz w:val="15"/>
        <w:szCs w:val="15"/>
      </w:rPr>
      <w:t xml:space="preserve"> Inland</w:t>
    </w:r>
    <w:r w:rsidR="009C23CD" w:rsidRPr="004F65B4">
      <w:rPr>
        <w:sz w:val="16"/>
        <w:szCs w:val="16"/>
      </w:rPr>
      <w:tab/>
    </w:r>
    <w:r w:rsidR="00DE15E5" w:rsidRPr="004F65B4">
      <w:rPr>
        <w:rStyle w:val="Seitenzahl"/>
        <w:sz w:val="16"/>
        <w:szCs w:val="16"/>
      </w:rPr>
      <w:fldChar w:fldCharType="begin"/>
    </w:r>
    <w:r w:rsidR="009C23CD" w:rsidRPr="004F65B4">
      <w:rPr>
        <w:rStyle w:val="Seitenzahl"/>
        <w:sz w:val="16"/>
        <w:szCs w:val="16"/>
      </w:rPr>
      <w:instrText xml:space="preserve"> PAGE </w:instrText>
    </w:r>
    <w:r w:rsidR="00DE15E5" w:rsidRPr="004F65B4">
      <w:rPr>
        <w:rStyle w:val="Seitenzahl"/>
        <w:sz w:val="16"/>
        <w:szCs w:val="16"/>
      </w:rPr>
      <w:fldChar w:fldCharType="separate"/>
    </w:r>
    <w:r w:rsidR="008C6AD7">
      <w:rPr>
        <w:rStyle w:val="Seitenzahl"/>
        <w:noProof/>
        <w:sz w:val="16"/>
        <w:szCs w:val="16"/>
      </w:rPr>
      <w:t>2</w:t>
    </w:r>
    <w:r w:rsidR="00DE15E5" w:rsidRPr="004F65B4">
      <w:rPr>
        <w:rStyle w:val="Seitenzahl"/>
        <w:sz w:val="16"/>
        <w:szCs w:val="16"/>
      </w:rPr>
      <w:fldChar w:fldCharType="end"/>
    </w:r>
    <w:r w:rsidR="009C23CD" w:rsidRPr="004F65B4">
      <w:rPr>
        <w:rStyle w:val="Seitenzahl"/>
        <w:sz w:val="16"/>
        <w:szCs w:val="16"/>
      </w:rPr>
      <w:t xml:space="preserve"> von </w:t>
    </w:r>
    <w:r w:rsidR="00DE15E5" w:rsidRPr="004F65B4">
      <w:rPr>
        <w:rStyle w:val="Seitenzahl"/>
        <w:sz w:val="16"/>
        <w:szCs w:val="16"/>
      </w:rPr>
      <w:fldChar w:fldCharType="begin"/>
    </w:r>
    <w:r w:rsidR="009C23CD" w:rsidRPr="004F65B4">
      <w:rPr>
        <w:rStyle w:val="Seitenzahl"/>
        <w:sz w:val="16"/>
        <w:szCs w:val="16"/>
      </w:rPr>
      <w:instrText xml:space="preserve"> NUMPAGES </w:instrText>
    </w:r>
    <w:r w:rsidR="00DE15E5" w:rsidRPr="004F65B4">
      <w:rPr>
        <w:rStyle w:val="Seitenzahl"/>
        <w:sz w:val="16"/>
        <w:szCs w:val="16"/>
      </w:rPr>
      <w:fldChar w:fldCharType="separate"/>
    </w:r>
    <w:r w:rsidR="008C6AD7">
      <w:rPr>
        <w:rStyle w:val="Seitenzahl"/>
        <w:noProof/>
        <w:sz w:val="16"/>
        <w:szCs w:val="16"/>
      </w:rPr>
      <w:t>5</w:t>
    </w:r>
    <w:r w:rsidR="00DE15E5" w:rsidRPr="004F65B4">
      <w:rPr>
        <w:rStyle w:val="Seitenzah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7D" w:rsidRDefault="00AA38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3CD" w:rsidRDefault="009C23CD">
      <w:r>
        <w:separator/>
      </w:r>
    </w:p>
  </w:footnote>
  <w:footnote w:type="continuationSeparator" w:id="0">
    <w:p w:rsidR="009C23CD" w:rsidRDefault="009C2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7D" w:rsidRDefault="00AA387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8" w:type="dxa"/>
      <w:tblLook w:val="01E0" w:firstRow="1" w:lastRow="1" w:firstColumn="1" w:lastColumn="1" w:noHBand="0" w:noVBand="0"/>
    </w:tblPr>
    <w:tblGrid>
      <w:gridCol w:w="3652"/>
      <w:gridCol w:w="6536"/>
    </w:tblGrid>
    <w:tr w:rsidR="009C23CD" w:rsidRPr="009C23CD" w:rsidTr="00DC3BBD">
      <w:trPr>
        <w:trHeight w:val="360"/>
      </w:trPr>
      <w:tc>
        <w:tcPr>
          <w:tcW w:w="3652" w:type="dxa"/>
        </w:tcPr>
        <w:p w:rsidR="009C23CD" w:rsidRPr="00BA6AB8" w:rsidRDefault="009C23CD" w:rsidP="007D34BB">
          <w:pPr>
            <w:pStyle w:val="Kopfzeile"/>
            <w:rPr>
              <w:b/>
              <w:sz w:val="16"/>
              <w:szCs w:val="16"/>
            </w:rPr>
          </w:pPr>
          <w:r w:rsidRPr="00BA6AB8">
            <w:rPr>
              <w:b/>
              <w:sz w:val="16"/>
              <w:szCs w:val="16"/>
            </w:rPr>
            <w:t>Bundesamt für Bauten und Logistik</w:t>
          </w:r>
        </w:p>
      </w:tc>
      <w:tc>
        <w:tcPr>
          <w:tcW w:w="6536" w:type="dxa"/>
        </w:tcPr>
        <w:p w:rsidR="009C23CD" w:rsidRPr="00BA6AB8" w:rsidRDefault="009C23CD" w:rsidP="003C5277">
          <w:pPr>
            <w:pStyle w:val="Kopfzeile"/>
            <w:tabs>
              <w:tab w:val="clear" w:pos="4536"/>
              <w:tab w:val="right" w:pos="4176"/>
            </w:tabs>
            <w:jc w:val="right"/>
            <w:rPr>
              <w:b/>
              <w:sz w:val="20"/>
              <w:szCs w:val="20"/>
            </w:rPr>
          </w:pPr>
          <w:r w:rsidRPr="00DC3BBD">
            <w:rPr>
              <w:b/>
              <w:sz w:val="20"/>
              <w:szCs w:val="20"/>
            </w:rPr>
            <w:t>K1P90_C</w:t>
          </w:r>
          <w:r w:rsidR="003C5277">
            <w:rPr>
              <w:b/>
              <w:sz w:val="20"/>
              <w:szCs w:val="20"/>
            </w:rPr>
            <w:t>15</w:t>
          </w:r>
          <w:r w:rsidRPr="00DC3BBD">
            <w:rPr>
              <w:b/>
              <w:sz w:val="20"/>
              <w:szCs w:val="20"/>
            </w:rPr>
            <w:t>d_</w:t>
          </w:r>
          <w:r w:rsidRPr="009C23CD">
            <w:rPr>
              <w:b/>
              <w:sz w:val="20"/>
              <w:szCs w:val="20"/>
            </w:rPr>
            <w:t>Bau von Photovoltaikanlagen</w:t>
          </w:r>
          <w:r w:rsidR="003C5277">
            <w:rPr>
              <w:b/>
              <w:sz w:val="20"/>
              <w:szCs w:val="20"/>
            </w:rPr>
            <w:t xml:space="preserve"> Inland</w:t>
          </w:r>
        </w:p>
      </w:tc>
    </w:tr>
    <w:tr w:rsidR="009C23CD" w:rsidRPr="00CD53A9" w:rsidTr="00DC3BBD">
      <w:tc>
        <w:tcPr>
          <w:tcW w:w="3652" w:type="dxa"/>
          <w:vAlign w:val="center"/>
        </w:tcPr>
        <w:p w:rsidR="009C23CD" w:rsidRPr="00BA6AB8" w:rsidRDefault="009C23CD" w:rsidP="00AA387D">
          <w:pPr>
            <w:pStyle w:val="Kopfzeile"/>
            <w:tabs>
              <w:tab w:val="left" w:pos="1620"/>
            </w:tabs>
            <w:rPr>
              <w:sz w:val="16"/>
              <w:szCs w:val="16"/>
            </w:rPr>
          </w:pPr>
          <w:r w:rsidRPr="00BA6AB8">
            <w:rPr>
              <w:sz w:val="16"/>
              <w:szCs w:val="16"/>
            </w:rPr>
            <w:t xml:space="preserve">Letzte Anpassung: </w:t>
          </w:r>
          <w:r w:rsidRPr="00BA6AB8">
            <w:rPr>
              <w:sz w:val="16"/>
              <w:szCs w:val="16"/>
            </w:rPr>
            <w:tab/>
          </w:r>
          <w:r w:rsidR="00AA387D">
            <w:rPr>
              <w:sz w:val="16"/>
              <w:szCs w:val="16"/>
            </w:rPr>
            <w:t>21.11.2017</w:t>
          </w:r>
          <w:r w:rsidRPr="003C5277">
            <w:rPr>
              <w:sz w:val="16"/>
              <w:szCs w:val="16"/>
            </w:rPr>
            <w:t xml:space="preserve"> </w:t>
          </w:r>
          <w:r w:rsidRPr="00BA6AB8">
            <w:rPr>
              <w:sz w:val="16"/>
              <w:szCs w:val="16"/>
            </w:rPr>
            <w:t xml:space="preserve">/ </w:t>
          </w:r>
          <w:r>
            <w:rPr>
              <w:sz w:val="16"/>
              <w:szCs w:val="16"/>
            </w:rPr>
            <w:t>busi</w:t>
          </w:r>
        </w:p>
      </w:tc>
      <w:tc>
        <w:tcPr>
          <w:tcW w:w="6536" w:type="dxa"/>
          <w:vAlign w:val="center"/>
        </w:tcPr>
        <w:p w:rsidR="009C23CD" w:rsidRPr="00BA6AB8" w:rsidRDefault="009C23CD" w:rsidP="00BA6AB8">
          <w:pPr>
            <w:pStyle w:val="Kopfzeile"/>
            <w:jc w:val="right"/>
            <w:rPr>
              <w:sz w:val="20"/>
              <w:szCs w:val="20"/>
            </w:rPr>
          </w:pPr>
          <w:r w:rsidRPr="00BA6AB8">
            <w:rPr>
              <w:sz w:val="20"/>
              <w:szCs w:val="20"/>
            </w:rPr>
            <w:t>Checkliste</w:t>
          </w:r>
        </w:p>
      </w:tc>
    </w:tr>
    <w:tr w:rsidR="009C23CD" w:rsidRPr="009C23CD" w:rsidTr="00DC3BBD">
      <w:trPr>
        <w:trHeight w:val="126"/>
      </w:trPr>
      <w:tc>
        <w:tcPr>
          <w:tcW w:w="3652" w:type="dxa"/>
          <w:vAlign w:val="center"/>
        </w:tcPr>
        <w:p w:rsidR="009C23CD" w:rsidRPr="00BA6AB8" w:rsidRDefault="009C23CD" w:rsidP="00B32D44">
          <w:pPr>
            <w:pStyle w:val="Kopfzeile"/>
            <w:tabs>
              <w:tab w:val="left" w:pos="1620"/>
            </w:tabs>
            <w:rPr>
              <w:sz w:val="16"/>
              <w:szCs w:val="16"/>
            </w:rPr>
          </w:pPr>
          <w:r w:rsidRPr="00BA6AB8">
            <w:rPr>
              <w:sz w:val="16"/>
              <w:szCs w:val="16"/>
            </w:rPr>
            <w:t>In Kraft gesetzt:</w:t>
          </w:r>
          <w:r w:rsidRPr="00BA6AB8">
            <w:rPr>
              <w:sz w:val="16"/>
              <w:szCs w:val="16"/>
            </w:rPr>
            <w:tab/>
          </w:r>
          <w:r w:rsidR="00AA387D">
            <w:rPr>
              <w:sz w:val="16"/>
              <w:szCs w:val="16"/>
            </w:rPr>
            <w:t>01.12.2017</w:t>
          </w:r>
          <w:r>
            <w:rPr>
              <w:sz w:val="16"/>
              <w:szCs w:val="16"/>
            </w:rPr>
            <w:t>/ winh</w:t>
          </w:r>
        </w:p>
      </w:tc>
      <w:tc>
        <w:tcPr>
          <w:tcW w:w="6536" w:type="dxa"/>
          <w:vAlign w:val="center"/>
        </w:tcPr>
        <w:p w:rsidR="009C23CD" w:rsidRPr="00BA6AB8" w:rsidRDefault="009C23CD" w:rsidP="00705998">
          <w:pPr>
            <w:pStyle w:val="Kopfzeile"/>
            <w:rPr>
              <w:sz w:val="16"/>
              <w:szCs w:val="16"/>
            </w:rPr>
          </w:pPr>
        </w:p>
      </w:tc>
    </w:tr>
  </w:tbl>
  <w:p w:rsidR="009C23CD" w:rsidRPr="000B0949" w:rsidRDefault="009C23CD" w:rsidP="00AA387D">
    <w:pPr>
      <w:pStyle w:val="Kopfzeile"/>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87D" w:rsidRDefault="00AA387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3F0C0C82"/>
    <w:lvl w:ilvl="0">
      <w:start w:val="1"/>
      <w:numFmt w:val="decimal"/>
      <w:pStyle w:val="berschrift1"/>
      <w:lvlText w:val="%1."/>
      <w:lvlJc w:val="left"/>
      <w:pPr>
        <w:tabs>
          <w:tab w:val="num" w:pos="851"/>
        </w:tabs>
        <w:ind w:left="851" w:hanging="851"/>
      </w:pPr>
      <w:rPr>
        <w:rFonts w:ascii="Arial" w:hAnsi="Arial" w:hint="default"/>
        <w:b/>
        <w:i w:val="0"/>
        <w:sz w:val="28"/>
      </w:rPr>
    </w:lvl>
    <w:lvl w:ilvl="1">
      <w:start w:val="1"/>
      <w:numFmt w:val="decimal"/>
      <w:pStyle w:val="berschrift2"/>
      <w:lvlText w:val="%1.%2"/>
      <w:lvlJc w:val="left"/>
      <w:pPr>
        <w:tabs>
          <w:tab w:val="num" w:pos="2555"/>
        </w:tabs>
        <w:ind w:left="2555" w:hanging="851"/>
      </w:pPr>
      <w:rPr>
        <w:rFonts w:ascii="Arial" w:hAnsi="Arial" w:hint="default"/>
        <w:b/>
        <w:i w:val="0"/>
        <w:sz w:val="24"/>
      </w:rPr>
    </w:lvl>
    <w:lvl w:ilvl="2">
      <w:start w:val="1"/>
      <w:numFmt w:val="decimal"/>
      <w:pStyle w:val="berschrift3"/>
      <w:lvlText w:val="%1.%2.%3"/>
      <w:lvlJc w:val="left"/>
      <w:pPr>
        <w:tabs>
          <w:tab w:val="num" w:pos="851"/>
        </w:tabs>
        <w:ind w:left="851" w:hanging="851"/>
      </w:pPr>
      <w:rPr>
        <w:rFonts w:ascii="Arial" w:hAnsi="Arial" w:hint="default"/>
        <w:b/>
        <w:i w:val="0"/>
        <w:sz w:val="22"/>
      </w:rPr>
    </w:lvl>
    <w:lvl w:ilvl="3">
      <w:start w:val="1"/>
      <w:numFmt w:val="decimal"/>
      <w:pStyle w:val="berschrift4"/>
      <w:lvlText w:val="%1.%2.%3.%4"/>
      <w:lvlJc w:val="left"/>
      <w:pPr>
        <w:tabs>
          <w:tab w:val="num" w:pos="851"/>
        </w:tabs>
        <w:ind w:left="851" w:hanging="851"/>
      </w:pPr>
      <w:rPr>
        <w:rFonts w:ascii="Arial" w:hAnsi="Arial" w:hint="default"/>
        <w:b/>
        <w:i w:val="0"/>
        <w:sz w:val="22"/>
      </w:rPr>
    </w:lvl>
    <w:lvl w:ilvl="4">
      <w:start w:val="1"/>
      <w:numFmt w:val="decimal"/>
      <w:pStyle w:val="berschrift5"/>
      <w:lvlText w:val="%1.%2.%3.%4.%5"/>
      <w:lvlJc w:val="left"/>
      <w:pPr>
        <w:tabs>
          <w:tab w:val="num" w:pos="1440"/>
        </w:tabs>
        <w:ind w:left="851" w:hanging="851"/>
      </w:pPr>
    </w:lvl>
    <w:lvl w:ilvl="5">
      <w:start w:val="1"/>
      <w:numFmt w:val="decimal"/>
      <w:pStyle w:val="berschrift6"/>
      <w:lvlText w:val="%1.%2.%3.%4.%5.%6"/>
      <w:lvlJc w:val="left"/>
      <w:pPr>
        <w:tabs>
          <w:tab w:val="num" w:pos="1440"/>
        </w:tabs>
        <w:ind w:left="284" w:hanging="284"/>
      </w:pPr>
    </w:lvl>
    <w:lvl w:ilvl="6">
      <w:start w:val="1"/>
      <w:numFmt w:val="decimal"/>
      <w:pStyle w:val="berschrift7"/>
      <w:lvlText w:val="%1.%2.%3.%4.%5.%6.%7"/>
      <w:lvlJc w:val="left"/>
      <w:pPr>
        <w:tabs>
          <w:tab w:val="num" w:pos="1800"/>
        </w:tabs>
        <w:ind w:left="851" w:hanging="851"/>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1" w15:restartNumberingAfterBreak="0">
    <w:nsid w:val="0A3A0752"/>
    <w:multiLevelType w:val="hybridMultilevel"/>
    <w:tmpl w:val="23281FE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6EE5F8A"/>
    <w:multiLevelType w:val="hybridMultilevel"/>
    <w:tmpl w:val="87C04152"/>
    <w:lvl w:ilvl="0" w:tplc="0807000F">
      <w:start w:val="1"/>
      <w:numFmt w:val="decimal"/>
      <w:lvlText w:val="%1."/>
      <w:lvlJc w:val="left"/>
      <w:pPr>
        <w:tabs>
          <w:tab w:val="num" w:pos="720"/>
        </w:tabs>
        <w:ind w:left="720" w:hanging="360"/>
      </w:pPr>
    </w:lvl>
    <w:lvl w:ilvl="1" w:tplc="6ED8D12A">
      <w:numFmt w:val="bullet"/>
      <w:lvlText w:val=""/>
      <w:lvlJc w:val="left"/>
      <w:pPr>
        <w:tabs>
          <w:tab w:val="num" w:pos="1440"/>
        </w:tabs>
        <w:ind w:left="1440" w:hanging="360"/>
      </w:pPr>
      <w:rPr>
        <w:rFonts w:ascii="Wingdings" w:eastAsia="Times New Roman" w:hAnsi="Wingdings" w:cs="Times New Roman" w:hint="default"/>
      </w:rPr>
    </w:lvl>
    <w:lvl w:ilvl="2" w:tplc="0807001B">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2349602F"/>
    <w:multiLevelType w:val="hybridMultilevel"/>
    <w:tmpl w:val="827896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AE43440"/>
    <w:multiLevelType w:val="hybridMultilevel"/>
    <w:tmpl w:val="554CA06A"/>
    <w:lvl w:ilvl="0" w:tplc="51DE48C0">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816891"/>
    <w:multiLevelType w:val="hybridMultilevel"/>
    <w:tmpl w:val="131C6FA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D990E2D"/>
    <w:multiLevelType w:val="hybridMultilevel"/>
    <w:tmpl w:val="E27AED44"/>
    <w:lvl w:ilvl="0" w:tplc="6DF25EC4">
      <w:start w:val="30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0C241F"/>
    <w:multiLevelType w:val="hybridMultilevel"/>
    <w:tmpl w:val="FC42F968"/>
    <w:lvl w:ilvl="0" w:tplc="D114A4D2">
      <w:start w:val="1"/>
      <w:numFmt w:val="bullet"/>
      <w:lvlText w:val=""/>
      <w:lvlJc w:val="left"/>
      <w:pPr>
        <w:tabs>
          <w:tab w:val="num" w:pos="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C4F1E"/>
    <w:multiLevelType w:val="hybridMultilevel"/>
    <w:tmpl w:val="F238FC5E"/>
    <w:lvl w:ilvl="0" w:tplc="065C6E94">
      <w:start w:val="1"/>
      <w:numFmt w:val="bullet"/>
      <w:lvlText w:val="-"/>
      <w:lvlJc w:val="left"/>
      <w:pPr>
        <w:tabs>
          <w:tab w:val="num" w:pos="360"/>
        </w:tabs>
        <w:ind w:left="360" w:hanging="360"/>
      </w:pPr>
      <w:rPr>
        <w:rFonts w:ascii="Arial" w:hAnsi="Arial" w:hint="default"/>
      </w:rPr>
    </w:lvl>
    <w:lvl w:ilvl="1" w:tplc="08070003" w:tentative="1">
      <w:start w:val="1"/>
      <w:numFmt w:val="bullet"/>
      <w:lvlText w:val="o"/>
      <w:lvlJc w:val="left"/>
      <w:pPr>
        <w:tabs>
          <w:tab w:val="num" w:pos="-92"/>
        </w:tabs>
        <w:ind w:left="-92" w:hanging="360"/>
      </w:pPr>
      <w:rPr>
        <w:rFonts w:ascii="Courier New" w:hAnsi="Courier New" w:cs="Courier New" w:hint="default"/>
      </w:rPr>
    </w:lvl>
    <w:lvl w:ilvl="2" w:tplc="08070005" w:tentative="1">
      <w:start w:val="1"/>
      <w:numFmt w:val="bullet"/>
      <w:lvlText w:val=""/>
      <w:lvlJc w:val="left"/>
      <w:pPr>
        <w:tabs>
          <w:tab w:val="num" w:pos="628"/>
        </w:tabs>
        <w:ind w:left="628" w:hanging="360"/>
      </w:pPr>
      <w:rPr>
        <w:rFonts w:ascii="Wingdings" w:hAnsi="Wingdings" w:hint="default"/>
      </w:rPr>
    </w:lvl>
    <w:lvl w:ilvl="3" w:tplc="08070001" w:tentative="1">
      <w:start w:val="1"/>
      <w:numFmt w:val="bullet"/>
      <w:lvlText w:val=""/>
      <w:lvlJc w:val="left"/>
      <w:pPr>
        <w:tabs>
          <w:tab w:val="num" w:pos="1348"/>
        </w:tabs>
        <w:ind w:left="1348" w:hanging="360"/>
      </w:pPr>
      <w:rPr>
        <w:rFonts w:ascii="Symbol" w:hAnsi="Symbol" w:hint="default"/>
      </w:rPr>
    </w:lvl>
    <w:lvl w:ilvl="4" w:tplc="08070003" w:tentative="1">
      <w:start w:val="1"/>
      <w:numFmt w:val="bullet"/>
      <w:lvlText w:val="o"/>
      <w:lvlJc w:val="left"/>
      <w:pPr>
        <w:tabs>
          <w:tab w:val="num" w:pos="2068"/>
        </w:tabs>
        <w:ind w:left="2068" w:hanging="360"/>
      </w:pPr>
      <w:rPr>
        <w:rFonts w:ascii="Courier New" w:hAnsi="Courier New" w:cs="Courier New" w:hint="default"/>
      </w:rPr>
    </w:lvl>
    <w:lvl w:ilvl="5" w:tplc="08070005" w:tentative="1">
      <w:start w:val="1"/>
      <w:numFmt w:val="bullet"/>
      <w:lvlText w:val=""/>
      <w:lvlJc w:val="left"/>
      <w:pPr>
        <w:tabs>
          <w:tab w:val="num" w:pos="2788"/>
        </w:tabs>
        <w:ind w:left="2788" w:hanging="360"/>
      </w:pPr>
      <w:rPr>
        <w:rFonts w:ascii="Wingdings" w:hAnsi="Wingdings" w:hint="default"/>
      </w:rPr>
    </w:lvl>
    <w:lvl w:ilvl="6" w:tplc="08070001" w:tentative="1">
      <w:start w:val="1"/>
      <w:numFmt w:val="bullet"/>
      <w:lvlText w:val=""/>
      <w:lvlJc w:val="left"/>
      <w:pPr>
        <w:tabs>
          <w:tab w:val="num" w:pos="3508"/>
        </w:tabs>
        <w:ind w:left="3508" w:hanging="360"/>
      </w:pPr>
      <w:rPr>
        <w:rFonts w:ascii="Symbol" w:hAnsi="Symbol" w:hint="default"/>
      </w:rPr>
    </w:lvl>
    <w:lvl w:ilvl="7" w:tplc="08070003" w:tentative="1">
      <w:start w:val="1"/>
      <w:numFmt w:val="bullet"/>
      <w:lvlText w:val="o"/>
      <w:lvlJc w:val="left"/>
      <w:pPr>
        <w:tabs>
          <w:tab w:val="num" w:pos="4228"/>
        </w:tabs>
        <w:ind w:left="4228" w:hanging="360"/>
      </w:pPr>
      <w:rPr>
        <w:rFonts w:ascii="Courier New" w:hAnsi="Courier New" w:cs="Courier New" w:hint="default"/>
      </w:rPr>
    </w:lvl>
    <w:lvl w:ilvl="8" w:tplc="08070005" w:tentative="1">
      <w:start w:val="1"/>
      <w:numFmt w:val="bullet"/>
      <w:lvlText w:val=""/>
      <w:lvlJc w:val="left"/>
      <w:pPr>
        <w:tabs>
          <w:tab w:val="num" w:pos="4948"/>
        </w:tabs>
        <w:ind w:left="4948" w:hanging="360"/>
      </w:pPr>
      <w:rPr>
        <w:rFonts w:ascii="Wingdings" w:hAnsi="Wingdings" w:hint="default"/>
      </w:rPr>
    </w:lvl>
  </w:abstractNum>
  <w:abstractNum w:abstractNumId="9" w15:restartNumberingAfterBreak="0">
    <w:nsid w:val="5A73254B"/>
    <w:multiLevelType w:val="hybridMultilevel"/>
    <w:tmpl w:val="B2CE403A"/>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62B756A0"/>
    <w:multiLevelType w:val="hybridMultilevel"/>
    <w:tmpl w:val="124650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EE22210"/>
    <w:multiLevelType w:val="hybridMultilevel"/>
    <w:tmpl w:val="EA74FC6E"/>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C33E84"/>
    <w:multiLevelType w:val="hybridMultilevel"/>
    <w:tmpl w:val="0910FB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24A5215"/>
    <w:multiLevelType w:val="hybridMultilevel"/>
    <w:tmpl w:val="E972700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98C3169"/>
    <w:multiLevelType w:val="hybridMultilevel"/>
    <w:tmpl w:val="A120C82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D14F43"/>
    <w:multiLevelType w:val="hybridMultilevel"/>
    <w:tmpl w:val="B79664D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num>
  <w:num w:numId="4">
    <w:abstractNumId w:val="2"/>
  </w:num>
  <w:num w:numId="5">
    <w:abstractNumId w:val="14"/>
  </w:num>
  <w:num w:numId="6">
    <w:abstractNumId w:val="11"/>
  </w:num>
  <w:num w:numId="7">
    <w:abstractNumId w:val="15"/>
  </w:num>
  <w:num w:numId="8">
    <w:abstractNumId w:val="1"/>
  </w:num>
  <w:num w:numId="9">
    <w:abstractNumId w:val="9"/>
  </w:num>
  <w:num w:numId="10">
    <w:abstractNumId w:val="5"/>
  </w:num>
  <w:num w:numId="11">
    <w:abstractNumId w:val="10"/>
  </w:num>
  <w:num w:numId="12">
    <w:abstractNumId w:val="6"/>
  </w:num>
  <w:num w:numId="13">
    <w:abstractNumId w:val="13"/>
  </w:num>
  <w:num w:numId="14">
    <w:abstractNumId w:val="0"/>
  </w:num>
  <w:num w:numId="15">
    <w:abstractNumId w:val="1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I6ydX8TAnsnXNrNR2GQWo8mK4f71+PzjUhgw3/yemocNzvmcRxryn5OvD27SDwPX9PtJuHeY++DRYBdFdEZEg==" w:salt="SZBMQiKt7T3TwB7WkP/OhA=="/>
  <w:defaultTabStop w:val="720"/>
  <w:hyphenationZone w:val="425"/>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FA3"/>
    <w:rsid w:val="000135B3"/>
    <w:rsid w:val="00045597"/>
    <w:rsid w:val="00051B09"/>
    <w:rsid w:val="00060CD1"/>
    <w:rsid w:val="00063446"/>
    <w:rsid w:val="00075526"/>
    <w:rsid w:val="000A17D5"/>
    <w:rsid w:val="000A59F6"/>
    <w:rsid w:val="000B0949"/>
    <w:rsid w:val="000B3896"/>
    <w:rsid w:val="000C360D"/>
    <w:rsid w:val="000C4B02"/>
    <w:rsid w:val="000C75C3"/>
    <w:rsid w:val="000E3733"/>
    <w:rsid w:val="000E5A3D"/>
    <w:rsid w:val="00115620"/>
    <w:rsid w:val="00136BFF"/>
    <w:rsid w:val="00146A70"/>
    <w:rsid w:val="00155E36"/>
    <w:rsid w:val="00191E98"/>
    <w:rsid w:val="00195955"/>
    <w:rsid w:val="00196BC8"/>
    <w:rsid w:val="001A2D74"/>
    <w:rsid w:val="001B1C86"/>
    <w:rsid w:val="001B2AFD"/>
    <w:rsid w:val="001B2CE2"/>
    <w:rsid w:val="001B7948"/>
    <w:rsid w:val="001D0F06"/>
    <w:rsid w:val="001D2936"/>
    <w:rsid w:val="001D36CF"/>
    <w:rsid w:val="002068E5"/>
    <w:rsid w:val="00223B48"/>
    <w:rsid w:val="00232FA3"/>
    <w:rsid w:val="00240E52"/>
    <w:rsid w:val="00243C1A"/>
    <w:rsid w:val="0025338A"/>
    <w:rsid w:val="00254F83"/>
    <w:rsid w:val="0026507E"/>
    <w:rsid w:val="00276CD4"/>
    <w:rsid w:val="00280878"/>
    <w:rsid w:val="00281189"/>
    <w:rsid w:val="002839E8"/>
    <w:rsid w:val="0028560D"/>
    <w:rsid w:val="002A7D7C"/>
    <w:rsid w:val="002B128A"/>
    <w:rsid w:val="002B7F5B"/>
    <w:rsid w:val="002C49F0"/>
    <w:rsid w:val="002D41FB"/>
    <w:rsid w:val="002D6032"/>
    <w:rsid w:val="002E111F"/>
    <w:rsid w:val="002E193C"/>
    <w:rsid w:val="00301325"/>
    <w:rsid w:val="0031377D"/>
    <w:rsid w:val="00324451"/>
    <w:rsid w:val="0032770A"/>
    <w:rsid w:val="00331F23"/>
    <w:rsid w:val="00341404"/>
    <w:rsid w:val="00347974"/>
    <w:rsid w:val="00360852"/>
    <w:rsid w:val="00363C2F"/>
    <w:rsid w:val="00371BDB"/>
    <w:rsid w:val="00372897"/>
    <w:rsid w:val="00374FF4"/>
    <w:rsid w:val="00377D67"/>
    <w:rsid w:val="00381C4A"/>
    <w:rsid w:val="0038372E"/>
    <w:rsid w:val="00385DA2"/>
    <w:rsid w:val="003A0FEA"/>
    <w:rsid w:val="003B1635"/>
    <w:rsid w:val="003C5277"/>
    <w:rsid w:val="003F3A0C"/>
    <w:rsid w:val="003F4537"/>
    <w:rsid w:val="003F7465"/>
    <w:rsid w:val="00400AEA"/>
    <w:rsid w:val="004062B5"/>
    <w:rsid w:val="004076F2"/>
    <w:rsid w:val="0042020E"/>
    <w:rsid w:val="004270F5"/>
    <w:rsid w:val="00427766"/>
    <w:rsid w:val="00431AC8"/>
    <w:rsid w:val="00437E20"/>
    <w:rsid w:val="0044025B"/>
    <w:rsid w:val="0044060E"/>
    <w:rsid w:val="0044679E"/>
    <w:rsid w:val="00446BE7"/>
    <w:rsid w:val="00452469"/>
    <w:rsid w:val="00455784"/>
    <w:rsid w:val="00462D5A"/>
    <w:rsid w:val="00473674"/>
    <w:rsid w:val="00477E8B"/>
    <w:rsid w:val="0048156E"/>
    <w:rsid w:val="0048536C"/>
    <w:rsid w:val="004A0FB9"/>
    <w:rsid w:val="004A4E8B"/>
    <w:rsid w:val="004A51D2"/>
    <w:rsid w:val="004A7EC1"/>
    <w:rsid w:val="004B0E84"/>
    <w:rsid w:val="004B65F5"/>
    <w:rsid w:val="004C7BE5"/>
    <w:rsid w:val="004E184C"/>
    <w:rsid w:val="004E4CD1"/>
    <w:rsid w:val="004F2263"/>
    <w:rsid w:val="004F65B4"/>
    <w:rsid w:val="00511A5B"/>
    <w:rsid w:val="0052272C"/>
    <w:rsid w:val="00523774"/>
    <w:rsid w:val="00525C43"/>
    <w:rsid w:val="005351CC"/>
    <w:rsid w:val="005437D1"/>
    <w:rsid w:val="00543E53"/>
    <w:rsid w:val="00551F60"/>
    <w:rsid w:val="005601D3"/>
    <w:rsid w:val="00567069"/>
    <w:rsid w:val="00584A37"/>
    <w:rsid w:val="00585CB4"/>
    <w:rsid w:val="005907D9"/>
    <w:rsid w:val="00593FC9"/>
    <w:rsid w:val="005A10B5"/>
    <w:rsid w:val="005A3181"/>
    <w:rsid w:val="005A5999"/>
    <w:rsid w:val="005B40D7"/>
    <w:rsid w:val="005B70A3"/>
    <w:rsid w:val="005C15BD"/>
    <w:rsid w:val="005C20C9"/>
    <w:rsid w:val="005D781F"/>
    <w:rsid w:val="005E0B93"/>
    <w:rsid w:val="005E3497"/>
    <w:rsid w:val="005E7EE0"/>
    <w:rsid w:val="005F68E8"/>
    <w:rsid w:val="00606969"/>
    <w:rsid w:val="00611A3D"/>
    <w:rsid w:val="00611E4B"/>
    <w:rsid w:val="00620D6D"/>
    <w:rsid w:val="00632B0B"/>
    <w:rsid w:val="006439AA"/>
    <w:rsid w:val="00653469"/>
    <w:rsid w:val="00655820"/>
    <w:rsid w:val="0067670F"/>
    <w:rsid w:val="006824FD"/>
    <w:rsid w:val="006924EF"/>
    <w:rsid w:val="00694612"/>
    <w:rsid w:val="00696ABF"/>
    <w:rsid w:val="006974C5"/>
    <w:rsid w:val="006B0384"/>
    <w:rsid w:val="006C14EF"/>
    <w:rsid w:val="006D1BD8"/>
    <w:rsid w:val="006E3571"/>
    <w:rsid w:val="006E7785"/>
    <w:rsid w:val="006F1007"/>
    <w:rsid w:val="006F3C85"/>
    <w:rsid w:val="006F3FD1"/>
    <w:rsid w:val="006F4BD4"/>
    <w:rsid w:val="00705998"/>
    <w:rsid w:val="007342E1"/>
    <w:rsid w:val="007366D9"/>
    <w:rsid w:val="00754991"/>
    <w:rsid w:val="00761388"/>
    <w:rsid w:val="007815E9"/>
    <w:rsid w:val="007849AE"/>
    <w:rsid w:val="00785644"/>
    <w:rsid w:val="00785B86"/>
    <w:rsid w:val="00787514"/>
    <w:rsid w:val="007950C6"/>
    <w:rsid w:val="007A5038"/>
    <w:rsid w:val="007A7BAC"/>
    <w:rsid w:val="007C64D4"/>
    <w:rsid w:val="007D106E"/>
    <w:rsid w:val="007D34BB"/>
    <w:rsid w:val="007D3ADB"/>
    <w:rsid w:val="007E5DE8"/>
    <w:rsid w:val="007E63A0"/>
    <w:rsid w:val="008053C0"/>
    <w:rsid w:val="00805A0C"/>
    <w:rsid w:val="00812E36"/>
    <w:rsid w:val="00814797"/>
    <w:rsid w:val="00822F4D"/>
    <w:rsid w:val="00832520"/>
    <w:rsid w:val="008403D3"/>
    <w:rsid w:val="00854B90"/>
    <w:rsid w:val="008620E8"/>
    <w:rsid w:val="00881C40"/>
    <w:rsid w:val="008A6B6C"/>
    <w:rsid w:val="008A73AB"/>
    <w:rsid w:val="008B37F8"/>
    <w:rsid w:val="008B531D"/>
    <w:rsid w:val="008C2697"/>
    <w:rsid w:val="008C330A"/>
    <w:rsid w:val="008C677A"/>
    <w:rsid w:val="008C6AD7"/>
    <w:rsid w:val="008C7C3C"/>
    <w:rsid w:val="008E7CAB"/>
    <w:rsid w:val="008F3740"/>
    <w:rsid w:val="008F60FB"/>
    <w:rsid w:val="008F79B3"/>
    <w:rsid w:val="00904C75"/>
    <w:rsid w:val="00920B3B"/>
    <w:rsid w:val="009439CB"/>
    <w:rsid w:val="00962F2A"/>
    <w:rsid w:val="00963EAD"/>
    <w:rsid w:val="00965C2E"/>
    <w:rsid w:val="00991553"/>
    <w:rsid w:val="009A3030"/>
    <w:rsid w:val="009B5116"/>
    <w:rsid w:val="009C23CD"/>
    <w:rsid w:val="009C29AA"/>
    <w:rsid w:val="009C2DA1"/>
    <w:rsid w:val="009D3331"/>
    <w:rsid w:val="009E20AC"/>
    <w:rsid w:val="009E48B7"/>
    <w:rsid w:val="009E5A33"/>
    <w:rsid w:val="009F4F6C"/>
    <w:rsid w:val="009F50BD"/>
    <w:rsid w:val="009F709F"/>
    <w:rsid w:val="009F7322"/>
    <w:rsid w:val="00A116B4"/>
    <w:rsid w:val="00A12F49"/>
    <w:rsid w:val="00A13605"/>
    <w:rsid w:val="00A2028A"/>
    <w:rsid w:val="00A21858"/>
    <w:rsid w:val="00A258DB"/>
    <w:rsid w:val="00A3297E"/>
    <w:rsid w:val="00A36822"/>
    <w:rsid w:val="00A435AD"/>
    <w:rsid w:val="00A44B9B"/>
    <w:rsid w:val="00A44ED1"/>
    <w:rsid w:val="00A47B48"/>
    <w:rsid w:val="00A5201B"/>
    <w:rsid w:val="00A66A96"/>
    <w:rsid w:val="00A66BF7"/>
    <w:rsid w:val="00A73A9C"/>
    <w:rsid w:val="00A80F5B"/>
    <w:rsid w:val="00A87630"/>
    <w:rsid w:val="00A90325"/>
    <w:rsid w:val="00A90AA9"/>
    <w:rsid w:val="00AA1DC0"/>
    <w:rsid w:val="00AA387D"/>
    <w:rsid w:val="00AA649F"/>
    <w:rsid w:val="00AC30F9"/>
    <w:rsid w:val="00AC4F41"/>
    <w:rsid w:val="00AC5B9D"/>
    <w:rsid w:val="00AC5F02"/>
    <w:rsid w:val="00AC7E0D"/>
    <w:rsid w:val="00AD7F94"/>
    <w:rsid w:val="00AE211D"/>
    <w:rsid w:val="00AE7183"/>
    <w:rsid w:val="00AF08D6"/>
    <w:rsid w:val="00B0700F"/>
    <w:rsid w:val="00B14D7C"/>
    <w:rsid w:val="00B31EB9"/>
    <w:rsid w:val="00B32D44"/>
    <w:rsid w:val="00B33216"/>
    <w:rsid w:val="00B34DCB"/>
    <w:rsid w:val="00B56BC6"/>
    <w:rsid w:val="00B617F6"/>
    <w:rsid w:val="00B75847"/>
    <w:rsid w:val="00B76982"/>
    <w:rsid w:val="00B830A6"/>
    <w:rsid w:val="00BA6AB8"/>
    <w:rsid w:val="00BA7934"/>
    <w:rsid w:val="00BE1A96"/>
    <w:rsid w:val="00BE2FC2"/>
    <w:rsid w:val="00BF25B5"/>
    <w:rsid w:val="00BF3694"/>
    <w:rsid w:val="00BF6427"/>
    <w:rsid w:val="00C00656"/>
    <w:rsid w:val="00C15387"/>
    <w:rsid w:val="00C15936"/>
    <w:rsid w:val="00C22CCA"/>
    <w:rsid w:val="00C24D4C"/>
    <w:rsid w:val="00C27E16"/>
    <w:rsid w:val="00C333C2"/>
    <w:rsid w:val="00C37261"/>
    <w:rsid w:val="00C45470"/>
    <w:rsid w:val="00C66A9B"/>
    <w:rsid w:val="00C7216A"/>
    <w:rsid w:val="00C7340F"/>
    <w:rsid w:val="00C86AFA"/>
    <w:rsid w:val="00C9019C"/>
    <w:rsid w:val="00C92385"/>
    <w:rsid w:val="00CA6AF9"/>
    <w:rsid w:val="00CD53A9"/>
    <w:rsid w:val="00CD7670"/>
    <w:rsid w:val="00CF537A"/>
    <w:rsid w:val="00D018BD"/>
    <w:rsid w:val="00D05887"/>
    <w:rsid w:val="00D2225C"/>
    <w:rsid w:val="00D22343"/>
    <w:rsid w:val="00D26D62"/>
    <w:rsid w:val="00D30C56"/>
    <w:rsid w:val="00D34914"/>
    <w:rsid w:val="00D461C1"/>
    <w:rsid w:val="00D57A93"/>
    <w:rsid w:val="00D672D6"/>
    <w:rsid w:val="00D75F0A"/>
    <w:rsid w:val="00D97707"/>
    <w:rsid w:val="00DA0B6E"/>
    <w:rsid w:val="00DA0C46"/>
    <w:rsid w:val="00DA58B9"/>
    <w:rsid w:val="00DA6530"/>
    <w:rsid w:val="00DA69B9"/>
    <w:rsid w:val="00DB4066"/>
    <w:rsid w:val="00DB6F69"/>
    <w:rsid w:val="00DC138D"/>
    <w:rsid w:val="00DC3BBD"/>
    <w:rsid w:val="00DE15E5"/>
    <w:rsid w:val="00DE453C"/>
    <w:rsid w:val="00E04525"/>
    <w:rsid w:val="00E22CF6"/>
    <w:rsid w:val="00E339D6"/>
    <w:rsid w:val="00E35172"/>
    <w:rsid w:val="00E447CC"/>
    <w:rsid w:val="00E52351"/>
    <w:rsid w:val="00E5368F"/>
    <w:rsid w:val="00EB6249"/>
    <w:rsid w:val="00EB6A35"/>
    <w:rsid w:val="00F031C8"/>
    <w:rsid w:val="00F06832"/>
    <w:rsid w:val="00F06F79"/>
    <w:rsid w:val="00F239C4"/>
    <w:rsid w:val="00F250F7"/>
    <w:rsid w:val="00F34EE3"/>
    <w:rsid w:val="00F41F99"/>
    <w:rsid w:val="00F47C0F"/>
    <w:rsid w:val="00F501E6"/>
    <w:rsid w:val="00F60564"/>
    <w:rsid w:val="00F701AC"/>
    <w:rsid w:val="00F82726"/>
    <w:rsid w:val="00F91A0F"/>
    <w:rsid w:val="00F91AD7"/>
    <w:rsid w:val="00F9559C"/>
    <w:rsid w:val="00FA33E4"/>
    <w:rsid w:val="00FC4BA1"/>
    <w:rsid w:val="00FF0AC9"/>
    <w:rsid w:val="00FF37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0D5A0C0B-1FF2-4295-AB4D-9A9FCB14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239C4"/>
    <w:rPr>
      <w:rFonts w:ascii="Arial" w:hAnsi="Arial"/>
      <w:sz w:val="24"/>
      <w:szCs w:val="24"/>
      <w:lang w:eastAsia="en-US"/>
    </w:rPr>
  </w:style>
  <w:style w:type="paragraph" w:styleId="berschrift1">
    <w:name w:val="heading 1"/>
    <w:basedOn w:val="Standard"/>
    <w:next w:val="Absatz1"/>
    <w:qFormat/>
    <w:rsid w:val="005351CC"/>
    <w:pPr>
      <w:widowControl w:val="0"/>
      <w:numPr>
        <w:numId w:val="3"/>
      </w:numPr>
      <w:adjustRightInd w:val="0"/>
      <w:spacing w:before="240" w:after="120" w:line="360" w:lineRule="atLeast"/>
      <w:textAlignment w:val="baseline"/>
      <w:outlineLvl w:val="0"/>
    </w:pPr>
    <w:rPr>
      <w:b/>
      <w:sz w:val="28"/>
      <w:szCs w:val="20"/>
      <w:lang w:eastAsia="de-DE"/>
    </w:rPr>
  </w:style>
  <w:style w:type="paragraph" w:styleId="berschrift2">
    <w:name w:val="heading 2"/>
    <w:basedOn w:val="Standard"/>
    <w:next w:val="Absatz1"/>
    <w:qFormat/>
    <w:rsid w:val="005351CC"/>
    <w:pPr>
      <w:widowControl w:val="0"/>
      <w:numPr>
        <w:ilvl w:val="1"/>
        <w:numId w:val="3"/>
      </w:numPr>
      <w:adjustRightInd w:val="0"/>
      <w:spacing w:before="120" w:after="120" w:line="360" w:lineRule="atLeast"/>
      <w:textAlignment w:val="baseline"/>
      <w:outlineLvl w:val="1"/>
    </w:pPr>
    <w:rPr>
      <w:b/>
      <w:noProof/>
      <w:szCs w:val="20"/>
      <w:lang w:eastAsia="de-DE"/>
    </w:rPr>
  </w:style>
  <w:style w:type="paragraph" w:styleId="berschrift3">
    <w:name w:val="heading 3"/>
    <w:basedOn w:val="Standard"/>
    <w:next w:val="Absatz1"/>
    <w:qFormat/>
    <w:rsid w:val="005351CC"/>
    <w:pPr>
      <w:widowControl w:val="0"/>
      <w:numPr>
        <w:ilvl w:val="2"/>
        <w:numId w:val="3"/>
      </w:numPr>
      <w:adjustRightInd w:val="0"/>
      <w:spacing w:after="120" w:line="360" w:lineRule="atLeast"/>
      <w:textAlignment w:val="baseline"/>
      <w:outlineLvl w:val="2"/>
    </w:pPr>
    <w:rPr>
      <w:b/>
      <w:noProof/>
      <w:sz w:val="22"/>
      <w:szCs w:val="20"/>
      <w:lang w:eastAsia="de-DE"/>
    </w:rPr>
  </w:style>
  <w:style w:type="paragraph" w:styleId="berschrift4">
    <w:name w:val="heading 4"/>
    <w:basedOn w:val="Standard"/>
    <w:next w:val="Absatz1"/>
    <w:qFormat/>
    <w:rsid w:val="005351CC"/>
    <w:pPr>
      <w:keepNext/>
      <w:widowControl w:val="0"/>
      <w:numPr>
        <w:ilvl w:val="3"/>
        <w:numId w:val="3"/>
      </w:numPr>
      <w:adjustRightInd w:val="0"/>
      <w:spacing w:after="120" w:line="360" w:lineRule="atLeast"/>
      <w:textAlignment w:val="baseline"/>
      <w:outlineLvl w:val="3"/>
    </w:pPr>
    <w:rPr>
      <w:b/>
      <w:noProof/>
      <w:sz w:val="22"/>
      <w:szCs w:val="20"/>
      <w:lang w:eastAsia="de-DE"/>
    </w:rPr>
  </w:style>
  <w:style w:type="paragraph" w:styleId="berschrift5">
    <w:name w:val="heading 5"/>
    <w:basedOn w:val="Standard"/>
    <w:next w:val="Standard"/>
    <w:qFormat/>
    <w:rsid w:val="005351CC"/>
    <w:pPr>
      <w:widowControl w:val="0"/>
      <w:numPr>
        <w:ilvl w:val="4"/>
        <w:numId w:val="3"/>
      </w:numPr>
      <w:adjustRightInd w:val="0"/>
      <w:spacing w:before="240" w:after="60" w:line="360" w:lineRule="atLeast"/>
      <w:jc w:val="both"/>
      <w:textAlignment w:val="baseline"/>
      <w:outlineLvl w:val="4"/>
    </w:pPr>
    <w:rPr>
      <w:sz w:val="22"/>
      <w:szCs w:val="20"/>
      <w:lang w:eastAsia="de-DE"/>
    </w:rPr>
  </w:style>
  <w:style w:type="paragraph" w:styleId="berschrift6">
    <w:name w:val="heading 6"/>
    <w:basedOn w:val="Standard"/>
    <w:next w:val="Standard"/>
    <w:qFormat/>
    <w:rsid w:val="005351CC"/>
    <w:pPr>
      <w:widowControl w:val="0"/>
      <w:numPr>
        <w:ilvl w:val="5"/>
        <w:numId w:val="3"/>
      </w:numPr>
      <w:adjustRightInd w:val="0"/>
      <w:spacing w:before="240" w:after="60" w:line="360" w:lineRule="atLeast"/>
      <w:jc w:val="both"/>
      <w:textAlignment w:val="baseline"/>
      <w:outlineLvl w:val="5"/>
    </w:pPr>
    <w:rPr>
      <w:i/>
      <w:sz w:val="22"/>
      <w:szCs w:val="20"/>
      <w:lang w:eastAsia="de-DE"/>
    </w:rPr>
  </w:style>
  <w:style w:type="paragraph" w:styleId="berschrift7">
    <w:name w:val="heading 7"/>
    <w:basedOn w:val="Standard"/>
    <w:next w:val="Standard"/>
    <w:qFormat/>
    <w:rsid w:val="005351CC"/>
    <w:pPr>
      <w:widowControl w:val="0"/>
      <w:numPr>
        <w:ilvl w:val="6"/>
        <w:numId w:val="3"/>
      </w:numPr>
      <w:adjustRightInd w:val="0"/>
      <w:spacing w:before="240" w:after="60" w:line="360" w:lineRule="atLeast"/>
      <w:jc w:val="both"/>
      <w:textAlignment w:val="baseline"/>
      <w:outlineLvl w:val="6"/>
    </w:pPr>
    <w:rPr>
      <w:sz w:val="20"/>
      <w:szCs w:val="20"/>
      <w:lang w:eastAsia="de-DE"/>
    </w:rPr>
  </w:style>
  <w:style w:type="paragraph" w:styleId="berschrift8">
    <w:name w:val="heading 8"/>
    <w:basedOn w:val="Standard"/>
    <w:next w:val="Standard"/>
    <w:qFormat/>
    <w:rsid w:val="005351CC"/>
    <w:pPr>
      <w:widowControl w:val="0"/>
      <w:numPr>
        <w:ilvl w:val="7"/>
        <w:numId w:val="3"/>
      </w:numPr>
      <w:adjustRightInd w:val="0"/>
      <w:spacing w:before="240" w:after="60" w:line="360" w:lineRule="atLeast"/>
      <w:jc w:val="both"/>
      <w:textAlignment w:val="baseline"/>
      <w:outlineLvl w:val="7"/>
    </w:pPr>
    <w:rPr>
      <w:i/>
      <w:sz w:val="20"/>
      <w:szCs w:val="20"/>
      <w:lang w:eastAsia="de-DE"/>
    </w:rPr>
  </w:style>
  <w:style w:type="paragraph" w:styleId="berschrift9">
    <w:name w:val="heading 9"/>
    <w:basedOn w:val="Standard"/>
    <w:next w:val="Standard"/>
    <w:qFormat/>
    <w:rsid w:val="005351CC"/>
    <w:pPr>
      <w:widowControl w:val="0"/>
      <w:numPr>
        <w:ilvl w:val="8"/>
        <w:numId w:val="3"/>
      </w:numPr>
      <w:adjustRightInd w:val="0"/>
      <w:spacing w:before="240" w:after="60" w:line="360" w:lineRule="atLeast"/>
      <w:jc w:val="both"/>
      <w:textAlignment w:val="baseline"/>
      <w:outlineLvl w:val="8"/>
    </w:pPr>
    <w:rPr>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32FA3"/>
    <w:pPr>
      <w:tabs>
        <w:tab w:val="center" w:pos="4536"/>
        <w:tab w:val="right" w:pos="9072"/>
      </w:tabs>
    </w:pPr>
  </w:style>
  <w:style w:type="paragraph" w:styleId="Fuzeile">
    <w:name w:val="footer"/>
    <w:basedOn w:val="Standard"/>
    <w:link w:val="FuzeileZchn"/>
    <w:rsid w:val="00232FA3"/>
    <w:pPr>
      <w:tabs>
        <w:tab w:val="center" w:pos="4536"/>
        <w:tab w:val="right" w:pos="9072"/>
      </w:tabs>
    </w:pPr>
  </w:style>
  <w:style w:type="table" w:styleId="Tabellenraster">
    <w:name w:val="Table Grid"/>
    <w:basedOn w:val="NormaleTabelle"/>
    <w:rsid w:val="000B0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46A70"/>
  </w:style>
  <w:style w:type="paragraph" w:styleId="Sprechblasentext">
    <w:name w:val="Balloon Text"/>
    <w:basedOn w:val="Standard"/>
    <w:semiHidden/>
    <w:rsid w:val="00AF08D6"/>
    <w:rPr>
      <w:rFonts w:ascii="Tahoma" w:hAnsi="Tahoma" w:cs="Tahoma"/>
      <w:sz w:val="16"/>
      <w:szCs w:val="16"/>
    </w:rPr>
  </w:style>
  <w:style w:type="paragraph" w:customStyle="1" w:styleId="Absatz1">
    <w:name w:val="Absatz 1"/>
    <w:basedOn w:val="Standard"/>
    <w:rsid w:val="005351CC"/>
    <w:pPr>
      <w:widowControl w:val="0"/>
      <w:adjustRightInd w:val="0"/>
      <w:spacing w:line="360" w:lineRule="atLeast"/>
      <w:ind w:left="851"/>
      <w:jc w:val="both"/>
      <w:textAlignment w:val="baseline"/>
    </w:pPr>
    <w:rPr>
      <w:sz w:val="22"/>
      <w:szCs w:val="20"/>
      <w:lang w:eastAsia="de-DE"/>
    </w:rPr>
  </w:style>
  <w:style w:type="paragraph" w:styleId="Titel">
    <w:name w:val="Title"/>
    <w:basedOn w:val="Standard"/>
    <w:next w:val="Standard"/>
    <w:qFormat/>
    <w:rsid w:val="001B2CE2"/>
    <w:pPr>
      <w:spacing w:after="480" w:line="480" w:lineRule="exact"/>
    </w:pPr>
    <w:rPr>
      <w:rFonts w:cs="Arial"/>
      <w:b/>
      <w:bCs/>
      <w:kern w:val="28"/>
      <w:sz w:val="42"/>
      <w:szCs w:val="40"/>
      <w:lang w:eastAsia="de-DE"/>
    </w:rPr>
  </w:style>
  <w:style w:type="paragraph" w:styleId="Untertitel">
    <w:name w:val="Subtitle"/>
    <w:basedOn w:val="Standard"/>
    <w:next w:val="Standard"/>
    <w:qFormat/>
    <w:rsid w:val="001B2CE2"/>
    <w:pPr>
      <w:spacing w:after="200" w:line="480" w:lineRule="exact"/>
    </w:pPr>
    <w:rPr>
      <w:rFonts w:cs="Arial"/>
      <w:sz w:val="42"/>
      <w:szCs w:val="32"/>
      <w:lang w:eastAsia="de-DE"/>
    </w:rPr>
  </w:style>
  <w:style w:type="paragraph" w:styleId="Textkrper">
    <w:name w:val="Body Text"/>
    <w:basedOn w:val="Standard"/>
    <w:link w:val="TextkrperZchn"/>
    <w:rsid w:val="00F91A0F"/>
    <w:rPr>
      <w:rFonts w:cs="Arial"/>
      <w:sz w:val="22"/>
      <w:lang w:eastAsia="de-DE"/>
    </w:rPr>
  </w:style>
  <w:style w:type="character" w:customStyle="1" w:styleId="TextkrperZchn">
    <w:name w:val="Textkörper Zchn"/>
    <w:basedOn w:val="Absatz-Standardschriftart"/>
    <w:link w:val="Textkrper"/>
    <w:rsid w:val="00F91A0F"/>
    <w:rPr>
      <w:rFonts w:ascii="Arial" w:hAnsi="Arial" w:cs="Arial"/>
      <w:sz w:val="22"/>
      <w:szCs w:val="24"/>
      <w:lang w:eastAsia="de-DE"/>
    </w:rPr>
  </w:style>
  <w:style w:type="paragraph" w:styleId="Textkrper2">
    <w:name w:val="Body Text 2"/>
    <w:basedOn w:val="Standard"/>
    <w:link w:val="Textkrper2Zchn"/>
    <w:rsid w:val="00F91A0F"/>
    <w:rPr>
      <w:rFonts w:eastAsia="Arial Unicode MS" w:cs="Arial"/>
      <w:sz w:val="20"/>
      <w:szCs w:val="20"/>
      <w:lang w:eastAsia="de-DE"/>
    </w:rPr>
  </w:style>
  <w:style w:type="character" w:customStyle="1" w:styleId="Textkrper2Zchn">
    <w:name w:val="Textkörper 2 Zchn"/>
    <w:basedOn w:val="Absatz-Standardschriftart"/>
    <w:link w:val="Textkrper2"/>
    <w:rsid w:val="00F91A0F"/>
    <w:rPr>
      <w:rFonts w:ascii="Arial" w:eastAsia="Arial Unicode MS" w:hAnsi="Arial" w:cs="Arial"/>
      <w:lang w:eastAsia="de-DE"/>
    </w:rPr>
  </w:style>
  <w:style w:type="paragraph" w:styleId="Textkrper3">
    <w:name w:val="Body Text 3"/>
    <w:basedOn w:val="Standard"/>
    <w:link w:val="Textkrper3Zchn"/>
    <w:rsid w:val="00F91A0F"/>
    <w:pPr>
      <w:spacing w:before="120"/>
      <w:jc w:val="both"/>
    </w:pPr>
    <w:rPr>
      <w:rFonts w:cs="Arial"/>
      <w:sz w:val="20"/>
      <w:lang w:eastAsia="de-DE"/>
    </w:rPr>
  </w:style>
  <w:style w:type="character" w:customStyle="1" w:styleId="Textkrper3Zchn">
    <w:name w:val="Textkörper 3 Zchn"/>
    <w:basedOn w:val="Absatz-Standardschriftart"/>
    <w:link w:val="Textkrper3"/>
    <w:rsid w:val="00F91A0F"/>
    <w:rPr>
      <w:rFonts w:ascii="Arial" w:hAnsi="Arial" w:cs="Arial"/>
      <w:szCs w:val="24"/>
      <w:lang w:eastAsia="de-DE"/>
    </w:rPr>
  </w:style>
  <w:style w:type="character" w:customStyle="1" w:styleId="FuzeileZchn">
    <w:name w:val="Fußzeile Zchn"/>
    <w:basedOn w:val="Absatz-Standardschriftart"/>
    <w:link w:val="Fuzeile"/>
    <w:rsid w:val="00F031C8"/>
    <w:rPr>
      <w:rFonts w:ascii="Arial" w:hAnsi="Arial"/>
      <w:sz w:val="24"/>
      <w:szCs w:val="24"/>
      <w:lang w:val="en-GB" w:eastAsia="en-US"/>
    </w:rPr>
  </w:style>
  <w:style w:type="paragraph" w:customStyle="1" w:styleId="TextCDB">
    <w:name w:val="Text_CDB"/>
    <w:basedOn w:val="Standard"/>
    <w:rsid w:val="007E5DE8"/>
    <w:pPr>
      <w:spacing w:after="260" w:line="260" w:lineRule="atLeast"/>
    </w:pPr>
    <w:rPr>
      <w:sz w:val="22"/>
      <w:szCs w:val="22"/>
      <w:lang w:eastAsia="de-DE"/>
    </w:rPr>
  </w:style>
  <w:style w:type="paragraph" w:styleId="Listenabsatz">
    <w:name w:val="List Paragraph"/>
    <w:basedOn w:val="Standard"/>
    <w:uiPriority w:val="34"/>
    <w:qFormat/>
    <w:rsid w:val="008F79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CDE19-D673-4A1A-8B38-877A2577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9786</Characters>
  <Application>Microsoft Office Word</Application>
  <DocSecurity>0</DocSecurity>
  <Lines>81</Lines>
  <Paragraphs>21</Paragraphs>
  <ScaleCrop>false</ScaleCrop>
  <HeadingPairs>
    <vt:vector size="2" baseType="variant">
      <vt:variant>
        <vt:lpstr>Titel</vt:lpstr>
      </vt:variant>
      <vt:variant>
        <vt:i4>1</vt:i4>
      </vt:variant>
    </vt:vector>
  </HeadingPairs>
  <TitlesOfParts>
    <vt:vector size="1" baseType="lpstr">
      <vt:lpstr/>
    </vt:vector>
  </TitlesOfParts>
  <Company>BIT</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Wäfler Christian BBL</dc:creator>
  <cp:lastModifiedBy>Schwarz Monika BBL</cp:lastModifiedBy>
  <cp:revision>4</cp:revision>
  <cp:lastPrinted>2014-12-08T15:41:00Z</cp:lastPrinted>
  <dcterms:created xsi:type="dcterms:W3CDTF">2017-11-21T10:11:00Z</dcterms:created>
  <dcterms:modified xsi:type="dcterms:W3CDTF">2017-12-27T13:02:00Z</dcterms:modified>
</cp:coreProperties>
</file>