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BE" w:rsidRDefault="003208CB" w:rsidP="003208CB">
      <w:pPr>
        <w:pStyle w:val="berschrift1"/>
        <w:numPr>
          <w:ilvl w:val="0"/>
          <w:numId w:val="0"/>
        </w:numPr>
        <w:spacing w:before="120" w:after="240"/>
        <w:ind w:left="851" w:hanging="851"/>
        <w:rPr>
          <w:color w:val="000000" w:themeColor="text1"/>
          <w:sz w:val="24"/>
          <w:szCs w:val="24"/>
          <w:lang w:val="fr-CH"/>
        </w:rPr>
      </w:pPr>
      <w:r w:rsidRPr="003208CB">
        <w:rPr>
          <w:color w:val="000000" w:themeColor="text1"/>
          <w:sz w:val="24"/>
          <w:szCs w:val="24"/>
          <w:lang w:val="fr-CH"/>
        </w:rPr>
        <w:t>Construction d'installations photovoltaïques en Suisse</w:t>
      </w:r>
    </w:p>
    <w:p w:rsidR="008256BE" w:rsidRDefault="003208CB" w:rsidP="003208CB">
      <w:pPr>
        <w:pStyle w:val="Textkrper"/>
        <w:spacing w:before="120"/>
        <w:rPr>
          <w:b/>
          <w:color w:val="000000" w:themeColor="text1"/>
          <w:szCs w:val="22"/>
          <w:lang w:val="fr-CH"/>
        </w:rPr>
      </w:pPr>
      <w:r w:rsidRPr="003208CB">
        <w:rPr>
          <w:b/>
          <w:color w:val="000000" w:themeColor="text1"/>
          <w:szCs w:val="22"/>
          <w:lang w:val="fr-CH"/>
        </w:rPr>
        <w:t>Introduction</w:t>
      </w:r>
    </w:p>
    <w:p w:rsidR="008256BE" w:rsidRDefault="003208CB" w:rsidP="001C6924">
      <w:pPr>
        <w:spacing w:line="276" w:lineRule="auto"/>
        <w:jc w:val="both"/>
        <w:rPr>
          <w:rFonts w:cs="Arial"/>
          <w:lang w:val="fr-CH"/>
        </w:rPr>
      </w:pPr>
      <w:r>
        <w:rPr>
          <w:rFonts w:cs="Arial"/>
          <w:lang w:val="fr-CH"/>
        </w:rPr>
        <w:t xml:space="preserve">La présente liste de vérification s'applique </w:t>
      </w:r>
      <w:r w:rsidR="00276632">
        <w:rPr>
          <w:rFonts w:cs="Arial"/>
          <w:lang w:val="fr-CH"/>
        </w:rPr>
        <w:t>lorsque</w:t>
      </w:r>
      <w:r>
        <w:rPr>
          <w:rFonts w:cs="Arial"/>
          <w:lang w:val="fr-CH"/>
        </w:rPr>
        <w:t xml:space="preserve"> l</w:t>
      </w:r>
      <w:r w:rsidR="001C6924">
        <w:rPr>
          <w:rFonts w:cs="Arial"/>
          <w:lang w:val="fr-CH"/>
        </w:rPr>
        <w:t>a division</w:t>
      </w:r>
      <w:r>
        <w:rPr>
          <w:rFonts w:cs="Arial"/>
          <w:lang w:val="fr-CH"/>
        </w:rPr>
        <w:t xml:space="preserve"> Gestion immobilière de l'OFCL (OFCL-IM) attribue un mandat portant sur la construction d'une installation photovoltaïque sur une propriété située en Suisse.</w:t>
      </w:r>
      <w:r w:rsidR="00787514" w:rsidRPr="003208CB">
        <w:rPr>
          <w:rFonts w:cs="Arial"/>
          <w:lang w:val="fr-CH"/>
        </w:rPr>
        <w:t xml:space="preserve"> </w:t>
      </w:r>
      <w:r w:rsidR="00276632">
        <w:rPr>
          <w:rFonts w:cs="Arial"/>
          <w:lang w:val="fr-CH"/>
        </w:rPr>
        <w:t>Quand</w:t>
      </w:r>
      <w:r w:rsidR="001C6924">
        <w:rPr>
          <w:rFonts w:cs="Arial"/>
          <w:lang w:val="fr-CH"/>
        </w:rPr>
        <w:t xml:space="preserve"> la liste de vérification mentionne l'OFCL-OM (Gestion des ouvrages et des bâtiments), il s'agit aussi bien du secteur Gestion et exploitation des bâtiments </w:t>
      </w:r>
      <w:r w:rsidR="00276632">
        <w:rPr>
          <w:rFonts w:cs="Arial"/>
          <w:lang w:val="fr-CH"/>
        </w:rPr>
        <w:t>(</w:t>
      </w:r>
      <w:r w:rsidR="001C6924">
        <w:rPr>
          <w:rFonts w:cs="Arial"/>
          <w:lang w:val="fr-CH"/>
        </w:rPr>
        <w:t>OFCL-OBB) que du secteur Gestion technique des bâtiments (OFCL-TGM).</w:t>
      </w:r>
    </w:p>
    <w:p w:rsidR="008256BE" w:rsidRDefault="008256BE" w:rsidP="009C23CD">
      <w:pPr>
        <w:rPr>
          <w:noProof/>
          <w:color w:val="000000" w:themeColor="text1"/>
          <w:lang w:val="fr-CH"/>
        </w:rPr>
      </w:pPr>
    </w:p>
    <w:p w:rsidR="008256BE" w:rsidRDefault="001C6924" w:rsidP="001C6924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Contexte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1C6924">
        <w:rPr>
          <w:rFonts w:cs="Arial"/>
          <w:color w:val="000000" w:themeColor="text1"/>
          <w:lang w:val="fr-CH"/>
        </w:rPr>
        <w:t>Arrêté du Conseil fédéral du 16 septembre 2011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1C6924">
        <w:rPr>
          <w:rFonts w:cs="Arial"/>
          <w:color w:val="000000" w:themeColor="text1"/>
          <w:lang w:val="fr-CH"/>
        </w:rPr>
        <w:t>Stratégie énergétique de l'OFCL 2010, mesures 2013/2014</w:t>
      </w:r>
    </w:p>
    <w:p w:rsidR="008256BE" w:rsidRDefault="008256BE" w:rsidP="00567069">
      <w:pPr>
        <w:spacing w:line="276" w:lineRule="auto"/>
        <w:rPr>
          <w:rFonts w:cs="Arial"/>
          <w:color w:val="000000" w:themeColor="text1"/>
          <w:lang w:val="fr-CH"/>
        </w:rPr>
      </w:pPr>
    </w:p>
    <w:p w:rsidR="008256BE" w:rsidRDefault="001C6924" w:rsidP="001C6924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Public cible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1C6924">
        <w:rPr>
          <w:rFonts w:cs="Arial"/>
          <w:color w:val="000000" w:themeColor="text1"/>
          <w:lang w:val="fr-CH"/>
        </w:rPr>
        <w:t>Chef</w:t>
      </w:r>
      <w:r w:rsidR="00276632">
        <w:rPr>
          <w:rFonts w:cs="Arial"/>
          <w:color w:val="000000" w:themeColor="text1"/>
          <w:lang w:val="fr-CH"/>
        </w:rPr>
        <w:t>s</w:t>
      </w:r>
      <w:r w:rsidRPr="001C6924">
        <w:rPr>
          <w:rFonts w:cs="Arial"/>
          <w:color w:val="000000" w:themeColor="text1"/>
          <w:lang w:val="fr-CH"/>
        </w:rPr>
        <w:t xml:space="preserve"> de projet du maître de l'ouvrage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Concepteurs et entrepreneurs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Exploitants d'ouvrage</w:t>
      </w:r>
    </w:p>
    <w:p w:rsidR="008256BE" w:rsidRDefault="008256BE" w:rsidP="009C23CD">
      <w:pPr>
        <w:rPr>
          <w:rFonts w:cs="Arial"/>
          <w:color w:val="000000" w:themeColor="text1"/>
        </w:rPr>
      </w:pPr>
    </w:p>
    <w:p w:rsidR="008256BE" w:rsidRDefault="001C6924" w:rsidP="001C6924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Organisation du projet</w:t>
      </w:r>
    </w:p>
    <w:p w:rsidR="008256BE" w:rsidRDefault="00276632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lang w:val="fr-CH"/>
        </w:rPr>
      </w:pPr>
      <w:r>
        <w:rPr>
          <w:rFonts w:cs="Arial"/>
          <w:lang w:val="fr-CH"/>
        </w:rPr>
        <w:t>Analyse du</w:t>
      </w:r>
      <w:r w:rsidR="001C6924" w:rsidRPr="001C6924">
        <w:rPr>
          <w:rFonts w:cs="Arial"/>
          <w:lang w:val="fr-CH"/>
        </w:rPr>
        <w:t xml:space="preserve"> mandat par le chef de projet du maître de l'ouvrage </w:t>
      </w:r>
      <w:r>
        <w:rPr>
          <w:rFonts w:cs="Arial"/>
          <w:lang w:val="fr-CH"/>
        </w:rPr>
        <w:t>assisté d'</w:t>
      </w:r>
      <w:r w:rsidR="001C6924" w:rsidRPr="001C6924">
        <w:rPr>
          <w:rFonts w:cs="Arial"/>
          <w:lang w:val="fr-CH"/>
        </w:rPr>
        <w:t>un conseiller spécialisé du maître de l'ouvrage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lang w:val="fr-CH"/>
        </w:rPr>
      </w:pPr>
      <w:r w:rsidRPr="001C6924">
        <w:rPr>
          <w:rFonts w:cs="Arial"/>
          <w:lang w:val="fr-CH"/>
        </w:rPr>
        <w:t xml:space="preserve">Réunion de lancement avec le responsable de secteur, </w:t>
      </w:r>
      <w:r w:rsidR="00276632">
        <w:rPr>
          <w:rFonts w:cs="Arial"/>
          <w:lang w:val="fr-CH"/>
        </w:rPr>
        <w:t xml:space="preserve">le chef de projet du maître de l'ouvrage, </w:t>
      </w:r>
      <w:r w:rsidRPr="001C6924">
        <w:rPr>
          <w:rFonts w:cs="Arial"/>
          <w:lang w:val="fr-CH"/>
        </w:rPr>
        <w:t>l'exploitant d'ouvrage de l'OFCL-OM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lang w:val="fr-CH"/>
        </w:rPr>
      </w:pPr>
      <w:r w:rsidRPr="001C6924">
        <w:rPr>
          <w:rFonts w:cs="Arial"/>
          <w:lang w:val="fr-CH"/>
        </w:rPr>
        <w:t xml:space="preserve">Conseiller spécialisé du maître de l'ouvrage, </w:t>
      </w:r>
      <w:r w:rsidR="002E6C9A">
        <w:rPr>
          <w:rFonts w:cs="Arial"/>
          <w:lang w:val="fr-CH"/>
        </w:rPr>
        <w:t>développement de programmes et de projets</w:t>
      </w:r>
    </w:p>
    <w:p w:rsidR="008256BE" w:rsidRDefault="001C6924" w:rsidP="001C692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lang w:val="fr-CH"/>
        </w:rPr>
      </w:pPr>
      <w:r w:rsidRPr="001C6924">
        <w:rPr>
          <w:rFonts w:cs="Arial"/>
          <w:lang w:val="fr-CH"/>
        </w:rPr>
        <w:t xml:space="preserve">Acquisition des prestations d'études par le chef de projet du maître de l'ouvrage </w:t>
      </w:r>
      <w:r w:rsidR="00276632">
        <w:rPr>
          <w:rFonts w:cs="Arial"/>
          <w:lang w:val="fr-CH"/>
        </w:rPr>
        <w:t>assisté d'</w:t>
      </w:r>
      <w:r w:rsidRPr="001C6924">
        <w:rPr>
          <w:rFonts w:cs="Arial"/>
          <w:lang w:val="fr-CH"/>
        </w:rPr>
        <w:t>un conseiller spécialisé du maître de l'ouvrage</w:t>
      </w:r>
    </w:p>
    <w:p w:rsidR="008256BE" w:rsidRDefault="00A64237" w:rsidP="00A64237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lang w:val="fr-CH"/>
        </w:rPr>
      </w:pPr>
      <w:r w:rsidRPr="00A64237">
        <w:rPr>
          <w:rFonts w:cs="Arial"/>
          <w:lang w:val="fr-CH"/>
        </w:rPr>
        <w:t>Clarification préalable quand à une</w:t>
      </w:r>
      <w:r w:rsidR="00276632">
        <w:rPr>
          <w:rFonts w:cs="Arial"/>
          <w:lang w:val="fr-CH"/>
        </w:rPr>
        <w:t xml:space="preserve"> éventuelle</w:t>
      </w:r>
      <w:r w:rsidRPr="00A64237">
        <w:rPr>
          <w:rFonts w:cs="Arial"/>
          <w:lang w:val="fr-CH"/>
        </w:rPr>
        <w:t xml:space="preserve"> rénovation imminente du toit par l'OFCL-OM </w:t>
      </w:r>
    </w:p>
    <w:p w:rsidR="008256BE" w:rsidRDefault="008256BE" w:rsidP="009C23CD">
      <w:pPr>
        <w:rPr>
          <w:rFonts w:cs="Arial"/>
          <w:color w:val="000000" w:themeColor="text1"/>
          <w:lang w:val="fr-CH"/>
        </w:rPr>
      </w:pPr>
    </w:p>
    <w:p w:rsidR="008256BE" w:rsidRDefault="00A64237" w:rsidP="00A64237">
      <w:pPr>
        <w:rPr>
          <w:rFonts w:cs="Arial"/>
          <w:b/>
          <w:color w:val="000000" w:themeColor="text1"/>
          <w:lang w:val="fr-CH"/>
        </w:rPr>
      </w:pPr>
      <w:r w:rsidRPr="00A64237">
        <w:rPr>
          <w:rFonts w:cs="Arial"/>
          <w:b/>
          <w:color w:val="000000" w:themeColor="text1"/>
          <w:lang w:val="fr-CH"/>
        </w:rPr>
        <w:t>Etude de faisabilité</w:t>
      </w:r>
    </w:p>
    <w:p w:rsidR="008256BE" w:rsidRDefault="008256BE" w:rsidP="009C23CD">
      <w:pPr>
        <w:rPr>
          <w:rFonts w:cs="Arial"/>
          <w:color w:val="000000" w:themeColor="text1"/>
          <w:lang w:val="fr-CH"/>
        </w:rPr>
      </w:pPr>
    </w:p>
    <w:p w:rsidR="008256BE" w:rsidRDefault="00A64237" w:rsidP="00A64237">
      <w:pPr>
        <w:rPr>
          <w:rFonts w:cs="Arial"/>
          <w:i/>
          <w:color w:val="000000" w:themeColor="text1"/>
          <w:lang w:val="fr-CH"/>
        </w:rPr>
      </w:pPr>
      <w:r w:rsidRPr="00A64237">
        <w:rPr>
          <w:rFonts w:cs="Arial"/>
          <w:i/>
          <w:color w:val="000000" w:themeColor="text1"/>
          <w:lang w:val="fr-CH"/>
        </w:rPr>
        <w:t xml:space="preserve">Etude de faisabilité, cas </w:t>
      </w:r>
      <w:proofErr w:type="gramStart"/>
      <w:r w:rsidRPr="00A64237">
        <w:rPr>
          <w:rFonts w:cs="Arial"/>
          <w:i/>
          <w:color w:val="000000" w:themeColor="text1"/>
          <w:lang w:val="fr-CH"/>
        </w:rPr>
        <w:t>A:</w:t>
      </w:r>
      <w:proofErr w:type="gramEnd"/>
      <w:r w:rsidRPr="00A64237">
        <w:rPr>
          <w:rFonts w:cs="Arial"/>
          <w:i/>
          <w:color w:val="000000" w:themeColor="text1"/>
          <w:lang w:val="fr-CH"/>
        </w:rPr>
        <w:t xml:space="preserve"> l'étude de faisabilité doit être réalisée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10632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EE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AE6D6C" w:rsidRPr="00EC269A">
        <w:rPr>
          <w:rFonts w:cs="Arial"/>
          <w:color w:val="000000" w:themeColor="text1"/>
          <w:lang w:val="fr-CH"/>
        </w:rPr>
        <w:t>Définition par le maître de l'ouvrage, surfaces adéquates, orientation, variantes et options</w:t>
      </w:r>
    </w:p>
    <w:p w:rsidR="008256BE" w:rsidRPr="00EC269A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85893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76632" w:rsidRPr="00EC269A">
        <w:rPr>
          <w:rFonts w:cs="Arial"/>
          <w:color w:val="000000" w:themeColor="text1"/>
          <w:lang w:val="fr-CH"/>
        </w:rPr>
        <w:t>Calcul</w:t>
      </w:r>
      <w:r w:rsidR="000F043E" w:rsidRPr="00EC269A">
        <w:rPr>
          <w:rFonts w:cs="Arial"/>
          <w:color w:val="000000" w:themeColor="text1"/>
          <w:lang w:val="fr-CH"/>
        </w:rPr>
        <w:t xml:space="preserve"> des coûts annuels </w:t>
      </w:r>
      <w:r w:rsidR="00276632" w:rsidRPr="00EC269A">
        <w:rPr>
          <w:rFonts w:cs="Arial"/>
          <w:color w:val="000000" w:themeColor="text1"/>
          <w:lang w:val="fr-CH"/>
        </w:rPr>
        <w:t>sur la base</w:t>
      </w:r>
      <w:r w:rsidR="000F043E" w:rsidRPr="00EC269A">
        <w:rPr>
          <w:rFonts w:cs="Arial"/>
          <w:color w:val="000000" w:themeColor="text1"/>
          <w:lang w:val="fr-CH"/>
        </w:rPr>
        <w:t xml:space="preserve"> de l'estimation de l'annuité </w:t>
      </w:r>
      <w:r w:rsidR="00276632" w:rsidRPr="00EC269A">
        <w:rPr>
          <w:rFonts w:cs="Arial"/>
          <w:color w:val="000000" w:themeColor="text1"/>
          <w:lang w:val="fr-CH"/>
        </w:rPr>
        <w:t xml:space="preserve">en tenant compte des valeurs </w:t>
      </w:r>
      <w:proofErr w:type="gramStart"/>
      <w:r w:rsidR="00276632" w:rsidRPr="00EC269A">
        <w:rPr>
          <w:rFonts w:cs="Arial"/>
          <w:color w:val="000000" w:themeColor="text1"/>
          <w:lang w:val="fr-CH"/>
        </w:rPr>
        <w:t>suivantes:</w:t>
      </w:r>
      <w:proofErr w:type="gramEnd"/>
    </w:p>
    <w:p w:rsidR="008256BE" w:rsidRDefault="000F043E" w:rsidP="00EC269A">
      <w:pPr>
        <w:pStyle w:val="Listenabsatz"/>
        <w:spacing w:line="276" w:lineRule="auto"/>
        <w:ind w:left="567"/>
        <w:rPr>
          <w:rFonts w:cs="Arial"/>
          <w:color w:val="000000" w:themeColor="text1"/>
          <w:lang w:val="fr-CH"/>
        </w:rPr>
      </w:pPr>
      <w:r w:rsidRPr="000F043E">
        <w:rPr>
          <w:rFonts w:cs="Arial"/>
          <w:color w:val="000000" w:themeColor="text1"/>
          <w:lang w:val="fr-CH"/>
        </w:rPr>
        <w:t xml:space="preserve">- durée </w:t>
      </w:r>
      <w:proofErr w:type="gramStart"/>
      <w:r w:rsidRPr="000F043E">
        <w:rPr>
          <w:rFonts w:cs="Arial"/>
          <w:color w:val="000000" w:themeColor="text1"/>
          <w:lang w:val="fr-CH"/>
        </w:rPr>
        <w:t>d'utilisation</w:t>
      </w:r>
      <w:r w:rsidR="00276632">
        <w:rPr>
          <w:rFonts w:cs="Arial"/>
          <w:color w:val="000000" w:themeColor="text1"/>
          <w:lang w:val="fr-CH"/>
        </w:rPr>
        <w:t>:</w:t>
      </w:r>
      <w:proofErr w:type="gramEnd"/>
      <w:r w:rsidRPr="000F043E">
        <w:rPr>
          <w:rFonts w:cs="Arial"/>
          <w:color w:val="000000" w:themeColor="text1"/>
          <w:lang w:val="fr-CH"/>
        </w:rPr>
        <w:t xml:space="preserve"> 25 ans </w:t>
      </w:r>
    </w:p>
    <w:p w:rsidR="008256BE" w:rsidRDefault="000F043E" w:rsidP="00EC269A">
      <w:pPr>
        <w:pStyle w:val="Listenabsatz"/>
        <w:spacing w:line="276" w:lineRule="auto"/>
        <w:ind w:left="567"/>
        <w:rPr>
          <w:rFonts w:cs="Arial"/>
          <w:color w:val="000000" w:themeColor="text1"/>
          <w:lang w:val="fr-CH"/>
        </w:rPr>
      </w:pPr>
      <w:r w:rsidRPr="000F043E">
        <w:rPr>
          <w:rFonts w:cs="Arial"/>
          <w:color w:val="000000" w:themeColor="text1"/>
          <w:lang w:val="fr-CH"/>
        </w:rPr>
        <w:t xml:space="preserve">- taux d'intérêt du </w:t>
      </w:r>
      <w:proofErr w:type="gramStart"/>
      <w:r w:rsidRPr="000F043E">
        <w:rPr>
          <w:rFonts w:cs="Arial"/>
          <w:color w:val="000000" w:themeColor="text1"/>
          <w:lang w:val="fr-CH"/>
        </w:rPr>
        <w:t>capital</w:t>
      </w:r>
      <w:r w:rsidR="00276632">
        <w:rPr>
          <w:rFonts w:cs="Arial"/>
          <w:color w:val="000000" w:themeColor="text1"/>
          <w:lang w:val="fr-CH"/>
        </w:rPr>
        <w:t>:</w:t>
      </w:r>
      <w:proofErr w:type="gramEnd"/>
      <w:r w:rsidRPr="000F043E">
        <w:rPr>
          <w:rFonts w:cs="Arial"/>
          <w:color w:val="000000" w:themeColor="text1"/>
          <w:lang w:val="fr-CH"/>
        </w:rPr>
        <w:t xml:space="preserve"> 3% </w:t>
      </w:r>
    </w:p>
    <w:p w:rsidR="008256BE" w:rsidRDefault="000F043E" w:rsidP="00EC269A">
      <w:pPr>
        <w:pStyle w:val="Listenabsatz"/>
        <w:spacing w:line="276" w:lineRule="auto"/>
        <w:ind w:left="567"/>
        <w:rPr>
          <w:rFonts w:cs="Arial"/>
          <w:color w:val="000000" w:themeColor="text1"/>
          <w:lang w:val="fr-CH"/>
        </w:rPr>
      </w:pPr>
      <w:r w:rsidRPr="002511D3">
        <w:rPr>
          <w:rFonts w:cs="Arial"/>
          <w:color w:val="000000" w:themeColor="text1"/>
          <w:lang w:val="fr-CH"/>
        </w:rPr>
        <w:t xml:space="preserve">- consommation </w:t>
      </w:r>
      <w:proofErr w:type="gramStart"/>
      <w:r w:rsidRPr="002511D3">
        <w:rPr>
          <w:rFonts w:cs="Arial"/>
          <w:color w:val="000000" w:themeColor="text1"/>
          <w:lang w:val="fr-CH"/>
        </w:rPr>
        <w:t>d'électricité</w:t>
      </w:r>
      <w:r w:rsidR="00276632">
        <w:rPr>
          <w:rFonts w:cs="Arial"/>
          <w:color w:val="000000" w:themeColor="text1"/>
          <w:lang w:val="fr-CH"/>
        </w:rPr>
        <w:t>:</w:t>
      </w:r>
      <w:proofErr w:type="gramEnd"/>
      <w:r w:rsidRPr="002511D3">
        <w:rPr>
          <w:rFonts w:cs="Arial"/>
          <w:color w:val="000000" w:themeColor="text1"/>
          <w:lang w:val="fr-CH"/>
        </w:rPr>
        <w:t xml:space="preserve"> 20 ct / kWh (électricité, contribution aux coûts du réseau, supplément environnemental)</w:t>
      </w:r>
      <w:r w:rsidR="009C23CD" w:rsidRPr="002511D3">
        <w:rPr>
          <w:rFonts w:cs="Arial"/>
          <w:color w:val="000000" w:themeColor="text1"/>
          <w:lang w:val="fr-CH"/>
        </w:rPr>
        <w:br/>
        <w:t xml:space="preserve">- </w:t>
      </w:r>
      <w:r w:rsidR="000A74E1">
        <w:rPr>
          <w:rFonts w:cs="Arial"/>
          <w:color w:val="000000" w:themeColor="text1"/>
          <w:lang w:val="fr-CH"/>
        </w:rPr>
        <w:t>retour d'électricité</w:t>
      </w:r>
      <w:r w:rsidR="00276632">
        <w:rPr>
          <w:rFonts w:cs="Arial"/>
          <w:color w:val="000000" w:themeColor="text1"/>
          <w:lang w:val="fr-CH"/>
        </w:rPr>
        <w:t>:</w:t>
      </w:r>
      <w:r w:rsidR="009C23CD" w:rsidRPr="002511D3">
        <w:rPr>
          <w:rFonts w:cs="Arial"/>
          <w:color w:val="000000" w:themeColor="text1"/>
          <w:lang w:val="fr-CH"/>
        </w:rPr>
        <w:t xml:space="preserve"> 5 </w:t>
      </w:r>
      <w:r w:rsidR="00BE2A06" w:rsidRPr="002511D3">
        <w:rPr>
          <w:rFonts w:cs="Arial"/>
          <w:color w:val="000000" w:themeColor="text1"/>
          <w:lang w:val="fr-CH"/>
        </w:rPr>
        <w:t>ct</w:t>
      </w:r>
      <w:r w:rsidR="009C23CD" w:rsidRPr="002511D3">
        <w:rPr>
          <w:rFonts w:cs="Arial"/>
          <w:color w:val="000000" w:themeColor="text1"/>
          <w:lang w:val="fr-CH"/>
        </w:rPr>
        <w:t xml:space="preserve"> / kWh</w:t>
      </w:r>
      <w:r w:rsidR="0025338A" w:rsidRPr="002511D3">
        <w:rPr>
          <w:rFonts w:cs="Arial"/>
          <w:color w:val="000000" w:themeColor="text1"/>
          <w:lang w:val="fr-CH"/>
        </w:rPr>
        <w:br/>
      </w:r>
      <w:r w:rsidR="002511D3" w:rsidRPr="002511D3">
        <w:rPr>
          <w:rFonts w:cs="Arial"/>
          <w:color w:val="000000" w:themeColor="text1"/>
          <w:lang w:val="fr-CH"/>
        </w:rPr>
        <w:t xml:space="preserve">Les valeurs actuelles se fondent sur la recommandation de la KBOB relative au </w:t>
      </w:r>
      <w:r w:rsidR="002511D3" w:rsidRPr="002511D3">
        <w:rPr>
          <w:rFonts w:cs="Arial"/>
          <w:color w:val="000000" w:themeColor="text1"/>
          <w:lang w:val="fr-CH"/>
        </w:rPr>
        <w:lastRenderedPageBreak/>
        <w:t xml:space="preserve">calcul de rentabilité pour les investissements dans le bâtiment et peuvent </w:t>
      </w:r>
      <w:r w:rsidR="00276632">
        <w:rPr>
          <w:rFonts w:cs="Arial"/>
          <w:color w:val="000000" w:themeColor="text1"/>
          <w:lang w:val="fr-CH"/>
        </w:rPr>
        <w:t xml:space="preserve">être </w:t>
      </w:r>
      <w:r w:rsidR="002511D3" w:rsidRPr="002511D3">
        <w:rPr>
          <w:rFonts w:cs="Arial"/>
          <w:color w:val="000000" w:themeColor="text1"/>
          <w:lang w:val="fr-CH"/>
        </w:rPr>
        <w:t>traitées avec l'outil qui y est mentionné.</w:t>
      </w:r>
      <w:r w:rsidR="0025338A" w:rsidRPr="002511D3">
        <w:rPr>
          <w:rFonts w:cs="Arial"/>
          <w:color w:val="000000" w:themeColor="text1"/>
          <w:lang w:val="fr-CH"/>
        </w:rPr>
        <w:t xml:space="preserve"> </w:t>
      </w:r>
    </w:p>
    <w:p w:rsidR="008256BE" w:rsidRDefault="002E6C9A" w:rsidP="00EC269A">
      <w:pPr>
        <w:spacing w:line="276" w:lineRule="auto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2797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511D3" w:rsidRPr="00EC269A">
        <w:rPr>
          <w:rFonts w:cs="Arial"/>
          <w:color w:val="000000" w:themeColor="text1"/>
          <w:lang w:val="fr-CH"/>
        </w:rPr>
        <w:t>Analyse des surfaces maximales (toit, façades, surfaces libres, etc.)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4290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E24380" w:rsidRPr="00EC269A">
        <w:rPr>
          <w:rFonts w:cs="Arial"/>
          <w:color w:val="000000" w:themeColor="text1"/>
          <w:lang w:val="fr-CH"/>
        </w:rPr>
        <w:t>Evaluation de l'état, en particulier de la compatibilité électromagnétique (concept CEM tel que protection contre la foudre</w:t>
      </w:r>
      <w:r w:rsidR="00276632" w:rsidRPr="00EC269A">
        <w:rPr>
          <w:rFonts w:cs="Arial"/>
          <w:color w:val="000000" w:themeColor="text1"/>
          <w:lang w:val="fr-CH"/>
        </w:rPr>
        <w:t>,</w:t>
      </w:r>
      <w:r w:rsidR="00E24380" w:rsidRPr="00EC269A">
        <w:rPr>
          <w:rFonts w:cs="Arial"/>
          <w:color w:val="000000" w:themeColor="text1"/>
          <w:lang w:val="fr-CH"/>
        </w:rPr>
        <w:t xml:space="preserve"> etc.) et des installations et </w:t>
      </w:r>
      <w:r w:rsidR="00276632" w:rsidRPr="00EC269A">
        <w:rPr>
          <w:rFonts w:cs="Arial"/>
          <w:color w:val="000000" w:themeColor="text1"/>
          <w:lang w:val="fr-CH"/>
        </w:rPr>
        <w:t>interfaces</w:t>
      </w:r>
      <w:r w:rsidR="00E24380" w:rsidRPr="00EC269A">
        <w:rPr>
          <w:rFonts w:cs="Arial"/>
          <w:color w:val="000000" w:themeColor="text1"/>
          <w:lang w:val="fr-CH"/>
        </w:rPr>
        <w:t xml:space="preserve"> techniques 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17469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E24380" w:rsidRPr="00EC269A">
        <w:rPr>
          <w:rFonts w:cs="Arial"/>
          <w:color w:val="000000" w:themeColor="text1"/>
          <w:lang w:val="fr-CH"/>
        </w:rPr>
        <w:t>Evaluation de la durée de vie restante des toits (en particulier des toits plats)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12346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400EA3" w:rsidRPr="00EC269A">
        <w:rPr>
          <w:rFonts w:cs="Arial"/>
          <w:color w:val="000000" w:themeColor="text1"/>
          <w:lang w:val="fr-CH"/>
        </w:rPr>
        <w:t>Connexion électrique, évaluation de l'état, optimisation de nouvelles mesures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97240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76632" w:rsidRPr="00EC269A">
        <w:rPr>
          <w:rFonts w:cs="Arial"/>
          <w:color w:val="000000" w:themeColor="text1"/>
          <w:lang w:val="fr-CH"/>
        </w:rPr>
        <w:t>Détermination de la</w:t>
      </w:r>
      <w:r w:rsidR="00B84543" w:rsidRPr="00EC269A">
        <w:rPr>
          <w:rFonts w:cs="Arial"/>
          <w:color w:val="000000" w:themeColor="text1"/>
          <w:lang w:val="fr-CH"/>
        </w:rPr>
        <w:t xml:space="preserve"> </w:t>
      </w:r>
      <w:r w:rsidR="0053235F" w:rsidRPr="00EC269A">
        <w:rPr>
          <w:rFonts w:cs="Arial"/>
          <w:color w:val="000000" w:themeColor="text1"/>
          <w:lang w:val="fr-CH"/>
        </w:rPr>
        <w:t>surface</w:t>
      </w:r>
      <w:r w:rsidR="00276632" w:rsidRPr="00EC269A">
        <w:rPr>
          <w:rFonts w:cs="Arial"/>
          <w:color w:val="000000" w:themeColor="text1"/>
          <w:lang w:val="fr-CH"/>
        </w:rPr>
        <w:t xml:space="preserve"> possible</w:t>
      </w:r>
      <w:r w:rsidR="0053235F" w:rsidRPr="00EC269A">
        <w:rPr>
          <w:rFonts w:cs="Arial"/>
          <w:color w:val="000000" w:themeColor="text1"/>
          <w:lang w:val="fr-CH"/>
        </w:rPr>
        <w:t xml:space="preserve"> du toit </w:t>
      </w:r>
      <w:r w:rsidR="00B84543" w:rsidRPr="00EC269A">
        <w:rPr>
          <w:rFonts w:cs="Arial"/>
          <w:color w:val="000000" w:themeColor="text1"/>
          <w:lang w:val="fr-CH"/>
        </w:rPr>
        <w:t>y c.</w:t>
      </w:r>
      <w:r w:rsidR="00276632" w:rsidRPr="00EC269A">
        <w:rPr>
          <w:rFonts w:cs="Arial"/>
          <w:color w:val="000000" w:themeColor="text1"/>
          <w:lang w:val="fr-CH"/>
        </w:rPr>
        <w:t xml:space="preserve"> d</w:t>
      </w:r>
      <w:r w:rsidR="0053235F" w:rsidRPr="00EC269A">
        <w:rPr>
          <w:rFonts w:cs="Arial"/>
          <w:color w:val="000000" w:themeColor="text1"/>
          <w:lang w:val="fr-CH"/>
        </w:rPr>
        <w:t xml:space="preserve">es surfaces de réserve pour </w:t>
      </w:r>
      <w:r w:rsidR="00276632" w:rsidRPr="00EC269A">
        <w:rPr>
          <w:rFonts w:cs="Arial"/>
          <w:color w:val="000000" w:themeColor="text1"/>
          <w:lang w:val="fr-CH"/>
        </w:rPr>
        <w:t>les besoins du système</w:t>
      </w:r>
      <w:r w:rsidR="0053235F" w:rsidRPr="00EC269A">
        <w:rPr>
          <w:rFonts w:cs="Arial"/>
          <w:color w:val="000000" w:themeColor="text1"/>
          <w:lang w:val="fr-CH"/>
        </w:rPr>
        <w:t xml:space="preserve"> CVC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79031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76632" w:rsidRPr="00EC269A">
        <w:rPr>
          <w:rFonts w:cs="Arial"/>
          <w:color w:val="000000" w:themeColor="text1"/>
          <w:lang w:val="fr-CH"/>
        </w:rPr>
        <w:t>Détermination de la</w:t>
      </w:r>
      <w:r w:rsidR="00B84543" w:rsidRPr="00EC269A">
        <w:rPr>
          <w:rFonts w:cs="Arial"/>
          <w:color w:val="000000" w:themeColor="text1"/>
          <w:lang w:val="fr-CH"/>
        </w:rPr>
        <w:t xml:space="preserve"> </w:t>
      </w:r>
      <w:r w:rsidR="0053235F" w:rsidRPr="00EC269A">
        <w:rPr>
          <w:rFonts w:cs="Arial"/>
          <w:color w:val="000000" w:themeColor="text1"/>
          <w:lang w:val="fr-CH"/>
        </w:rPr>
        <w:t xml:space="preserve">surface </w:t>
      </w:r>
      <w:r w:rsidR="00276632" w:rsidRPr="00EC269A">
        <w:rPr>
          <w:rFonts w:cs="Arial"/>
          <w:color w:val="000000" w:themeColor="text1"/>
          <w:lang w:val="fr-CH"/>
        </w:rPr>
        <w:t xml:space="preserve">possible </w:t>
      </w:r>
      <w:r w:rsidR="0053235F" w:rsidRPr="00EC269A">
        <w:rPr>
          <w:rFonts w:cs="Arial"/>
          <w:color w:val="000000" w:themeColor="text1"/>
          <w:lang w:val="fr-CH"/>
        </w:rPr>
        <w:t xml:space="preserve">du panel avec </w:t>
      </w:r>
      <w:r w:rsidR="00276632" w:rsidRPr="00EC269A">
        <w:rPr>
          <w:rFonts w:cs="Arial"/>
          <w:color w:val="000000" w:themeColor="text1"/>
          <w:lang w:val="fr-CH"/>
        </w:rPr>
        <w:t>layout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8446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76632" w:rsidRPr="00EC269A">
        <w:rPr>
          <w:rFonts w:cs="Arial"/>
          <w:color w:val="000000" w:themeColor="text1"/>
          <w:lang w:val="fr-CH"/>
        </w:rPr>
        <w:t>Détermination de la</w:t>
      </w:r>
      <w:r w:rsidR="00B84543" w:rsidRPr="00EC269A">
        <w:rPr>
          <w:rFonts w:cs="Arial"/>
          <w:color w:val="000000" w:themeColor="text1"/>
          <w:lang w:val="fr-CH"/>
        </w:rPr>
        <w:t xml:space="preserve"> performance</w:t>
      </w:r>
      <w:r w:rsidR="00276632" w:rsidRPr="00EC269A">
        <w:rPr>
          <w:rFonts w:cs="Arial"/>
          <w:color w:val="000000" w:themeColor="text1"/>
          <w:lang w:val="fr-CH"/>
        </w:rPr>
        <w:t xml:space="preserve"> possible</w:t>
      </w:r>
      <w:r w:rsidR="00B84543" w:rsidRPr="00EC269A">
        <w:rPr>
          <w:rFonts w:cs="Arial"/>
          <w:color w:val="000000" w:themeColor="text1"/>
          <w:lang w:val="fr-CH"/>
        </w:rPr>
        <w:t xml:space="preserve"> de l'installation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49480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B84543" w:rsidRPr="00EC269A">
        <w:rPr>
          <w:rFonts w:cs="Arial"/>
          <w:color w:val="000000" w:themeColor="text1"/>
          <w:lang w:val="fr-CH"/>
        </w:rPr>
        <w:t>Prévisions concernant le rendement énergétique annuel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38981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F41C3" w:rsidRPr="00EC269A">
        <w:rPr>
          <w:rFonts w:cs="Arial"/>
          <w:color w:val="000000" w:themeColor="text1"/>
          <w:lang w:val="fr-CH"/>
        </w:rPr>
        <w:t>Proposition d'orientation et d</w:t>
      </w:r>
      <w:r w:rsidR="00EC269A">
        <w:rPr>
          <w:rFonts w:cs="Arial"/>
          <w:color w:val="000000" w:themeColor="text1"/>
          <w:lang w:val="fr-CH"/>
        </w:rPr>
        <w:t>'inclinaison optimales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2201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B84543" w:rsidRPr="00EC269A">
        <w:rPr>
          <w:rFonts w:cs="Arial"/>
          <w:color w:val="000000" w:themeColor="text1"/>
          <w:lang w:val="fr-CH"/>
        </w:rPr>
        <w:t>Bases de décision avec comparaison des différents types de module par rapport aux prix du marché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11871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374E75" w:rsidRPr="00EC269A">
        <w:rPr>
          <w:rFonts w:cs="Arial"/>
          <w:color w:val="000000" w:themeColor="text1"/>
          <w:lang w:val="fr-CH"/>
        </w:rPr>
        <w:t xml:space="preserve">Déclaration concernant les charges utiles supplémentaires des surfaces du toit et </w:t>
      </w:r>
      <w:r w:rsidR="00276632" w:rsidRPr="00EC269A">
        <w:rPr>
          <w:rFonts w:cs="Arial"/>
          <w:color w:val="000000" w:themeColor="text1"/>
          <w:lang w:val="fr-CH"/>
        </w:rPr>
        <w:t>contrôle de</w:t>
      </w:r>
      <w:r w:rsidR="00374E75" w:rsidRPr="00EC269A">
        <w:rPr>
          <w:rFonts w:cs="Arial"/>
          <w:color w:val="000000" w:themeColor="text1"/>
          <w:lang w:val="fr-CH"/>
        </w:rPr>
        <w:t xml:space="preserve"> la résistance statique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207092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374E75" w:rsidRPr="00EC269A">
        <w:rPr>
          <w:rFonts w:cs="Arial"/>
          <w:color w:val="000000" w:themeColor="text1"/>
          <w:lang w:val="fr-CH"/>
        </w:rPr>
        <w:t>Déclaration concernant la compression de la toiture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5511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374E75" w:rsidRPr="00EC269A">
        <w:rPr>
          <w:rFonts w:cs="Arial"/>
          <w:color w:val="000000" w:themeColor="text1"/>
          <w:lang w:val="fr-CH"/>
        </w:rPr>
        <w:t>Déclaration concernant le choix de la technologie, de la structure et du système de montage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31824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386004" w:rsidRPr="00EC269A">
        <w:rPr>
          <w:rFonts w:cs="Arial"/>
          <w:color w:val="000000" w:themeColor="text1"/>
          <w:lang w:val="fr-CH"/>
        </w:rPr>
        <w:t>Spécificités importantes en matière de coû</w:t>
      </w:r>
      <w:r w:rsidR="008256BE" w:rsidRPr="00EC269A">
        <w:rPr>
          <w:rFonts w:cs="Arial"/>
          <w:color w:val="000000" w:themeColor="text1"/>
          <w:lang w:val="fr-CH"/>
        </w:rPr>
        <w:t>ts concernant l'accès et la log</w:t>
      </w:r>
      <w:r w:rsidR="00386004" w:rsidRPr="00EC269A">
        <w:rPr>
          <w:rFonts w:cs="Arial"/>
          <w:color w:val="000000" w:themeColor="text1"/>
          <w:lang w:val="fr-CH"/>
        </w:rPr>
        <w:t>i</w:t>
      </w:r>
      <w:r w:rsidR="008256BE" w:rsidRPr="00EC269A">
        <w:rPr>
          <w:rFonts w:cs="Arial"/>
          <w:color w:val="000000" w:themeColor="text1"/>
          <w:lang w:val="fr-CH"/>
        </w:rPr>
        <w:t>s</w:t>
      </w:r>
      <w:r w:rsidR="00386004" w:rsidRPr="00EC269A">
        <w:rPr>
          <w:rFonts w:cs="Arial"/>
          <w:color w:val="000000" w:themeColor="text1"/>
          <w:lang w:val="fr-CH"/>
        </w:rPr>
        <w:t>tique de chantier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85387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386004" w:rsidRPr="00EC269A">
        <w:rPr>
          <w:rFonts w:cs="Arial"/>
          <w:color w:val="000000" w:themeColor="text1"/>
          <w:lang w:val="fr-CH"/>
        </w:rPr>
        <w:t xml:space="preserve">Clarification </w:t>
      </w:r>
      <w:r w:rsidR="00276632" w:rsidRPr="00EC269A">
        <w:rPr>
          <w:rFonts w:cs="Arial"/>
          <w:color w:val="000000" w:themeColor="text1"/>
          <w:lang w:val="fr-CH"/>
        </w:rPr>
        <w:t>relative au</w:t>
      </w:r>
      <w:r w:rsidR="00386004" w:rsidRPr="00EC269A">
        <w:rPr>
          <w:rFonts w:cs="Arial"/>
          <w:color w:val="000000" w:themeColor="text1"/>
          <w:lang w:val="fr-CH"/>
        </w:rPr>
        <w:t xml:space="preserve"> concept de garde-corps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98111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386004" w:rsidRPr="00EC269A">
        <w:rPr>
          <w:rFonts w:cs="Arial"/>
          <w:color w:val="000000" w:themeColor="text1"/>
          <w:lang w:val="fr-CH"/>
        </w:rPr>
        <w:t>Emplacement des onduleurs et concept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7818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276632" w:rsidRPr="00EC269A">
        <w:rPr>
          <w:rFonts w:cs="Arial"/>
          <w:color w:val="000000" w:themeColor="text1"/>
          <w:lang w:val="fr-CH"/>
        </w:rPr>
        <w:t xml:space="preserve">Examen préliminaire des </w:t>
      </w:r>
      <w:r w:rsidR="0048319D" w:rsidRPr="00EC269A">
        <w:rPr>
          <w:rFonts w:cs="Arial"/>
          <w:color w:val="000000" w:themeColor="text1"/>
          <w:lang w:val="fr-CH"/>
        </w:rPr>
        <w:t>éventuelles conditions dictées par les autorités en matière de construction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95490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48319D" w:rsidRPr="00EC269A">
        <w:rPr>
          <w:rFonts w:cs="Arial"/>
          <w:color w:val="000000" w:themeColor="text1"/>
          <w:lang w:val="fr-CH"/>
        </w:rPr>
        <w:t>Examen préliminaire des rétroactions sur le réseau avec le gestionnaire du réseau de distribution</w:t>
      </w:r>
      <w:r w:rsidR="009C23CD" w:rsidRPr="00EC269A">
        <w:rPr>
          <w:rFonts w:cs="Arial"/>
          <w:color w:val="000000" w:themeColor="text1"/>
          <w:lang w:val="fr-CH"/>
        </w:rPr>
        <w:t xml:space="preserve"> 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77074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48319D" w:rsidRPr="00EC269A">
        <w:rPr>
          <w:rFonts w:cs="Arial"/>
          <w:color w:val="000000" w:themeColor="text1"/>
          <w:lang w:val="fr-CH"/>
        </w:rPr>
        <w:t xml:space="preserve">Demande d'autorisation principale auprès du gestionnaire du réseau de distribution (demande de raccordement) 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85068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CE54AC" w:rsidRPr="00EC269A">
        <w:rPr>
          <w:rFonts w:cs="Arial"/>
          <w:color w:val="000000" w:themeColor="text1"/>
          <w:lang w:val="fr-CH"/>
        </w:rPr>
        <w:t>Comparaison entre le besoin en puissance du bâtiment et la puissance renvoyée par l'installation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58026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CE54AC" w:rsidRPr="00EC269A">
        <w:rPr>
          <w:rFonts w:cs="Arial"/>
          <w:color w:val="000000" w:themeColor="text1"/>
          <w:lang w:val="fr-CH"/>
        </w:rPr>
        <w:t xml:space="preserve">Comparaison entre le besoin en énergie du bâtiment, le rendement énergétique annuel et </w:t>
      </w:r>
      <w:r w:rsidR="00276632" w:rsidRPr="00EC269A">
        <w:rPr>
          <w:rFonts w:cs="Arial"/>
          <w:color w:val="000000" w:themeColor="text1"/>
          <w:lang w:val="fr-CH"/>
        </w:rPr>
        <w:t>l'énergie renvoyée</w:t>
      </w:r>
    </w:p>
    <w:p w:rsidR="008256BE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29875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FF282F" w:rsidRPr="00EC269A">
        <w:rPr>
          <w:rFonts w:cs="Arial"/>
          <w:color w:val="000000" w:themeColor="text1"/>
          <w:lang w:val="fr-CH"/>
        </w:rPr>
        <w:t>Coûts de l'installation y c. les honoraires ainsi que le</w:t>
      </w:r>
      <w:r w:rsidR="00276632" w:rsidRPr="00EC269A">
        <w:rPr>
          <w:rFonts w:cs="Arial"/>
          <w:color w:val="000000" w:themeColor="text1"/>
          <w:lang w:val="fr-CH"/>
        </w:rPr>
        <w:t>s</w:t>
      </w:r>
      <w:r w:rsidR="00FF282F" w:rsidRPr="00EC269A">
        <w:rPr>
          <w:rFonts w:cs="Arial"/>
          <w:color w:val="000000" w:themeColor="text1"/>
          <w:lang w:val="fr-CH"/>
        </w:rPr>
        <w:t xml:space="preserve"> coût</w:t>
      </w:r>
      <w:r w:rsidR="00276632" w:rsidRPr="00EC269A">
        <w:rPr>
          <w:rFonts w:cs="Arial"/>
          <w:color w:val="000000" w:themeColor="text1"/>
          <w:lang w:val="fr-CH"/>
        </w:rPr>
        <w:t>s</w:t>
      </w:r>
      <w:r w:rsidR="00FF282F" w:rsidRPr="00EC269A">
        <w:rPr>
          <w:rFonts w:cs="Arial"/>
          <w:color w:val="000000" w:themeColor="text1"/>
          <w:lang w:val="fr-CH"/>
        </w:rPr>
        <w:t xml:space="preserve"> des mesures techniques, organisationnels et de construction </w:t>
      </w:r>
      <w:r w:rsidR="002F41C3" w:rsidRPr="00EC269A">
        <w:rPr>
          <w:rFonts w:cs="Arial"/>
          <w:color w:val="000000" w:themeColor="text1"/>
          <w:lang w:val="fr-CH"/>
        </w:rPr>
        <w:t>dont il faut tenir compte</w:t>
      </w:r>
    </w:p>
    <w:p w:rsidR="008256BE" w:rsidRPr="00EC269A" w:rsidRDefault="002E6C9A" w:rsidP="00EC269A">
      <w:pPr>
        <w:spacing w:line="276" w:lineRule="auto"/>
        <w:ind w:left="567" w:hanging="567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9863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9A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EC269A">
        <w:rPr>
          <w:rFonts w:cs="Arial"/>
          <w:color w:val="000000" w:themeColor="text1"/>
          <w:lang w:val="fr-CH"/>
        </w:rPr>
        <w:tab/>
      </w:r>
      <w:r w:rsidR="00FF282F" w:rsidRPr="00EC269A">
        <w:rPr>
          <w:rFonts w:cs="Arial"/>
          <w:color w:val="000000" w:themeColor="text1"/>
          <w:lang w:val="fr-CH"/>
        </w:rPr>
        <w:t>Calendrier</w:t>
      </w:r>
    </w:p>
    <w:p w:rsidR="00EC269A" w:rsidRDefault="00EC269A">
      <w:pPr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br w:type="page"/>
      </w:r>
    </w:p>
    <w:p w:rsidR="008256BE" w:rsidRPr="00EC269A" w:rsidRDefault="008256BE" w:rsidP="009C23CD">
      <w:pPr>
        <w:rPr>
          <w:rFonts w:cs="Arial"/>
          <w:color w:val="000000" w:themeColor="text1"/>
          <w:lang w:val="fr-CH"/>
        </w:rPr>
      </w:pPr>
    </w:p>
    <w:p w:rsidR="008256BE" w:rsidRDefault="00FF282F" w:rsidP="00FF282F">
      <w:pPr>
        <w:rPr>
          <w:rFonts w:cs="Arial"/>
          <w:i/>
          <w:color w:val="000000" w:themeColor="text1"/>
          <w:lang w:val="fr-CH"/>
        </w:rPr>
      </w:pPr>
      <w:r w:rsidRPr="00FF282F">
        <w:rPr>
          <w:rFonts w:cs="Arial"/>
          <w:i/>
          <w:color w:val="000000" w:themeColor="text1"/>
          <w:lang w:val="fr-CH"/>
        </w:rPr>
        <w:t xml:space="preserve">Etude de faisabilité, cas </w:t>
      </w:r>
      <w:proofErr w:type="gramStart"/>
      <w:r w:rsidRPr="00FF282F">
        <w:rPr>
          <w:rFonts w:cs="Arial"/>
          <w:i/>
          <w:color w:val="000000" w:themeColor="text1"/>
          <w:lang w:val="fr-CH"/>
        </w:rPr>
        <w:t>B:</w:t>
      </w:r>
      <w:proofErr w:type="gramEnd"/>
      <w:r w:rsidRPr="00FF282F">
        <w:rPr>
          <w:rFonts w:cs="Arial"/>
          <w:i/>
          <w:color w:val="000000" w:themeColor="text1"/>
          <w:lang w:val="fr-CH"/>
        </w:rPr>
        <w:t xml:space="preserve"> l'étude de faisabilité est disponible et doit ê</w:t>
      </w:r>
      <w:r w:rsidR="00BB28B4">
        <w:rPr>
          <w:rFonts w:cs="Arial"/>
          <w:i/>
          <w:color w:val="000000" w:themeColor="text1"/>
          <w:lang w:val="fr-CH"/>
        </w:rPr>
        <w:t>tre analysée par le planificateu</w:t>
      </w:r>
      <w:r w:rsidRPr="00FF282F">
        <w:rPr>
          <w:rFonts w:cs="Arial"/>
          <w:i/>
          <w:color w:val="000000" w:themeColor="text1"/>
          <w:lang w:val="fr-CH"/>
        </w:rPr>
        <w:t xml:space="preserve">r spécialisé </w:t>
      </w:r>
    </w:p>
    <w:p w:rsidR="008256BE" w:rsidRDefault="002E6C9A" w:rsidP="00F54A33">
      <w:pPr>
        <w:spacing w:line="276" w:lineRule="auto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-85194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33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F54A33">
        <w:rPr>
          <w:rFonts w:cs="Arial"/>
          <w:color w:val="000000" w:themeColor="text1"/>
          <w:lang w:val="fr-CH"/>
        </w:rPr>
        <w:tab/>
      </w:r>
      <w:r w:rsidR="00FF282F" w:rsidRPr="00F54A33">
        <w:rPr>
          <w:rFonts w:cs="Arial"/>
          <w:color w:val="000000" w:themeColor="text1"/>
          <w:lang w:val="fr-CH"/>
        </w:rPr>
        <w:t>Analyse et plausibilisation de l'étude de faisabilité</w:t>
      </w:r>
    </w:p>
    <w:p w:rsidR="008256BE" w:rsidRDefault="002E6C9A" w:rsidP="00F54A33">
      <w:pPr>
        <w:spacing w:line="276" w:lineRule="auto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05343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33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F54A33">
        <w:rPr>
          <w:rFonts w:cs="Arial"/>
          <w:color w:val="000000" w:themeColor="text1"/>
          <w:lang w:val="fr-CH"/>
        </w:rPr>
        <w:tab/>
      </w:r>
      <w:r w:rsidR="00BB28B4" w:rsidRPr="00F54A33">
        <w:rPr>
          <w:rFonts w:cs="Arial"/>
          <w:color w:val="000000" w:themeColor="text1"/>
          <w:lang w:val="fr-CH"/>
        </w:rPr>
        <w:t>Annonce de</w:t>
      </w:r>
      <w:r w:rsidR="00276632" w:rsidRPr="00F54A33">
        <w:rPr>
          <w:rFonts w:cs="Arial"/>
          <w:color w:val="000000" w:themeColor="text1"/>
          <w:lang w:val="fr-CH"/>
        </w:rPr>
        <w:t>s éventuelles</w:t>
      </w:r>
      <w:r w:rsidR="00BB28B4" w:rsidRPr="00F54A33">
        <w:rPr>
          <w:rFonts w:cs="Arial"/>
          <w:color w:val="000000" w:themeColor="text1"/>
          <w:lang w:val="fr-CH"/>
        </w:rPr>
        <w:t xml:space="preserve"> réserves </w:t>
      </w:r>
      <w:r w:rsidR="00276632" w:rsidRPr="00F54A33">
        <w:rPr>
          <w:rFonts w:cs="Arial"/>
          <w:color w:val="000000" w:themeColor="text1"/>
          <w:lang w:val="fr-CH"/>
        </w:rPr>
        <w:t>concernant</w:t>
      </w:r>
      <w:r w:rsidR="00BB28B4" w:rsidRPr="00F54A33">
        <w:rPr>
          <w:rFonts w:cs="Arial"/>
          <w:color w:val="000000" w:themeColor="text1"/>
          <w:lang w:val="fr-CH"/>
        </w:rPr>
        <w:t xml:space="preserve"> l'étude de faisabilité</w:t>
      </w:r>
    </w:p>
    <w:p w:rsidR="008256BE" w:rsidRPr="00F54A33" w:rsidRDefault="002E6C9A" w:rsidP="00F54A33">
      <w:pPr>
        <w:spacing w:line="276" w:lineRule="auto"/>
        <w:rPr>
          <w:rFonts w:cs="Arial"/>
          <w:color w:val="000000" w:themeColor="text1"/>
          <w:lang w:val="fr-CH"/>
        </w:rPr>
      </w:pPr>
      <w:sdt>
        <w:sdtPr>
          <w:rPr>
            <w:rFonts w:cs="Arial"/>
            <w:color w:val="000000" w:themeColor="text1"/>
            <w:lang w:val="fr-CH"/>
          </w:rPr>
          <w:id w:val="135816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33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F54A33">
        <w:rPr>
          <w:rFonts w:cs="Arial"/>
          <w:color w:val="000000" w:themeColor="text1"/>
          <w:lang w:val="fr-CH"/>
        </w:rPr>
        <w:tab/>
      </w:r>
      <w:r w:rsidR="00BB28B4" w:rsidRPr="00F54A33">
        <w:rPr>
          <w:rFonts w:cs="Arial"/>
          <w:color w:val="000000" w:themeColor="text1"/>
          <w:lang w:val="fr-CH"/>
        </w:rPr>
        <w:t xml:space="preserve">Evaluation de l'optimisation ou de la </w:t>
      </w:r>
      <w:r w:rsidR="00276632" w:rsidRPr="00F54A33">
        <w:rPr>
          <w:rFonts w:cs="Arial"/>
          <w:color w:val="000000" w:themeColor="text1"/>
          <w:lang w:val="fr-CH"/>
        </w:rPr>
        <w:t>mise à jour</w:t>
      </w:r>
      <w:r w:rsidR="009C23CD" w:rsidRPr="00F54A33">
        <w:rPr>
          <w:rFonts w:cs="Arial"/>
          <w:color w:val="000000" w:themeColor="text1"/>
          <w:lang w:val="fr-CH"/>
        </w:rPr>
        <w:t xml:space="preserve"> </w:t>
      </w:r>
    </w:p>
    <w:p w:rsidR="008256BE" w:rsidRDefault="008256BE" w:rsidP="009C23CD">
      <w:pPr>
        <w:rPr>
          <w:rFonts w:cs="Arial"/>
          <w:color w:val="000000" w:themeColor="text1"/>
          <w:lang w:val="fr-CH"/>
        </w:rPr>
      </w:pPr>
    </w:p>
    <w:p w:rsidR="008256BE" w:rsidRPr="00F54A33" w:rsidRDefault="00BB28B4" w:rsidP="00BB28B4">
      <w:pPr>
        <w:rPr>
          <w:rFonts w:cs="Arial"/>
          <w:b/>
          <w:color w:val="000000" w:themeColor="text1"/>
          <w:lang w:val="fr-CH"/>
        </w:rPr>
      </w:pPr>
      <w:r w:rsidRPr="00F54A33">
        <w:rPr>
          <w:rFonts w:cs="Arial"/>
          <w:b/>
          <w:color w:val="000000" w:themeColor="text1"/>
          <w:lang w:val="fr-CH"/>
        </w:rPr>
        <w:t>Bases</w:t>
      </w:r>
    </w:p>
    <w:p w:rsidR="008256BE" w:rsidRDefault="00BB28B4" w:rsidP="00BB28B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BB28B4">
        <w:rPr>
          <w:rFonts w:cs="Arial"/>
          <w:color w:val="000000" w:themeColor="text1"/>
          <w:lang w:val="fr-CH"/>
        </w:rPr>
        <w:t>Prescriptions d'entreprise et conditions de raccordement de l'entreprise de distribution de l'énergie</w:t>
      </w:r>
    </w:p>
    <w:p w:rsidR="008256BE" w:rsidRDefault="000A74E1" w:rsidP="003C5277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0A74E1">
        <w:rPr>
          <w:rFonts w:cs="Arial"/>
          <w:color w:val="000000" w:themeColor="text1"/>
          <w:lang w:val="fr-CH"/>
        </w:rPr>
        <w:t>Obligation de planification</w:t>
      </w:r>
      <w:r w:rsidR="009C23CD" w:rsidRPr="000A74E1">
        <w:rPr>
          <w:rFonts w:cs="Arial"/>
          <w:color w:val="000000" w:themeColor="text1"/>
          <w:lang w:val="fr-CH"/>
        </w:rPr>
        <w:t xml:space="preserve"> </w:t>
      </w:r>
      <w:r w:rsidRPr="000A74E1">
        <w:rPr>
          <w:rFonts w:cs="Arial"/>
          <w:color w:val="000000" w:themeColor="text1"/>
          <w:lang w:val="fr-CH"/>
        </w:rPr>
        <w:t xml:space="preserve">de l'Inspection fédérale de la sécurité nucléaire (IFSN) </w:t>
      </w:r>
      <w:r>
        <w:rPr>
          <w:rFonts w:cs="Arial"/>
          <w:color w:val="000000" w:themeColor="text1"/>
          <w:lang w:val="fr-CH"/>
        </w:rPr>
        <w:t>conformément à l'OPIE (RS</w:t>
      </w:r>
      <w:r w:rsidR="009C23CD" w:rsidRPr="000A74E1">
        <w:rPr>
          <w:rFonts w:cs="Arial"/>
          <w:color w:val="000000" w:themeColor="text1"/>
          <w:lang w:val="fr-CH"/>
        </w:rPr>
        <w:t xml:space="preserve"> 734.25) </w:t>
      </w:r>
      <w:r>
        <w:rPr>
          <w:rFonts w:cs="Arial"/>
          <w:color w:val="000000" w:themeColor="text1"/>
          <w:lang w:val="fr-CH"/>
        </w:rPr>
        <w:t>et contrôle de la sécurité</w:t>
      </w:r>
      <w:r w:rsidR="009C23CD" w:rsidRPr="000A74E1">
        <w:rPr>
          <w:rFonts w:cs="Arial"/>
          <w:color w:val="000000" w:themeColor="text1"/>
          <w:lang w:val="fr-CH"/>
        </w:rPr>
        <w:t xml:space="preserve"> </w:t>
      </w:r>
      <w:r w:rsidR="008256BE">
        <w:rPr>
          <w:rFonts w:cs="Arial"/>
          <w:color w:val="000000" w:themeColor="text1"/>
          <w:lang w:val="fr-CH"/>
        </w:rPr>
        <w:t>dans le domaine du courant continu</w:t>
      </w:r>
      <w:r w:rsidR="009C23CD" w:rsidRPr="000A74E1">
        <w:rPr>
          <w:rFonts w:cs="Arial"/>
          <w:color w:val="000000" w:themeColor="text1"/>
          <w:lang w:val="fr-CH"/>
        </w:rPr>
        <w:t xml:space="preserve">. </w:t>
      </w:r>
      <w:r w:rsidR="008256BE" w:rsidRPr="008256BE">
        <w:rPr>
          <w:rFonts w:cs="Arial"/>
          <w:color w:val="000000" w:themeColor="text1"/>
          <w:lang w:val="fr-CH"/>
        </w:rPr>
        <w:t>Les installations ayant une puissance de raccordement supérieure à</w:t>
      </w:r>
      <w:r w:rsidR="009C23CD" w:rsidRPr="008256BE">
        <w:rPr>
          <w:rFonts w:cs="Arial"/>
          <w:color w:val="000000" w:themeColor="text1"/>
          <w:lang w:val="fr-CH"/>
        </w:rPr>
        <w:t xml:space="preserve"> 3</w:t>
      </w:r>
      <w:r w:rsidR="00A90325" w:rsidRPr="008256BE">
        <w:rPr>
          <w:rFonts w:cs="Arial"/>
          <w:color w:val="000000" w:themeColor="text1"/>
          <w:lang w:val="fr-CH"/>
        </w:rPr>
        <w:t>0</w:t>
      </w:r>
      <w:r w:rsidR="002F41C3">
        <w:rPr>
          <w:rFonts w:cs="Arial"/>
          <w:color w:val="000000" w:themeColor="text1"/>
          <w:lang w:val="fr-CH"/>
        </w:rPr>
        <w:t> </w:t>
      </w:r>
      <w:r w:rsidR="009C23CD" w:rsidRPr="008256BE">
        <w:rPr>
          <w:rFonts w:cs="Arial"/>
          <w:color w:val="000000" w:themeColor="text1"/>
          <w:lang w:val="fr-CH"/>
        </w:rPr>
        <w:t xml:space="preserve">kVA </w:t>
      </w:r>
      <w:r w:rsidR="008256BE">
        <w:rPr>
          <w:rFonts w:cs="Arial"/>
          <w:color w:val="000000" w:themeColor="text1"/>
          <w:lang w:val="fr-CH"/>
        </w:rPr>
        <w:t>s</w:t>
      </w:r>
      <w:r w:rsidR="00276632">
        <w:rPr>
          <w:rFonts w:cs="Arial"/>
          <w:color w:val="000000" w:themeColor="text1"/>
          <w:lang w:val="fr-CH"/>
        </w:rPr>
        <w:t>ont soumises à cette obligation</w:t>
      </w:r>
      <w:r w:rsidR="009C23CD" w:rsidRPr="008256BE">
        <w:rPr>
          <w:rFonts w:cs="Arial"/>
          <w:color w:val="000000" w:themeColor="text1"/>
          <w:lang w:val="fr-CH"/>
        </w:rPr>
        <w:t xml:space="preserve"> </w:t>
      </w:r>
    </w:p>
    <w:p w:rsidR="008256BE" w:rsidRDefault="00EC48B6" w:rsidP="00EC48B6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EC48B6">
        <w:rPr>
          <w:rFonts w:cs="Arial"/>
          <w:color w:val="000000" w:themeColor="text1"/>
          <w:lang w:val="fr-CH"/>
        </w:rPr>
        <w:t>Ordonnance sur l'attestation du type de production et de l'origine de l'é</w:t>
      </w:r>
      <w:r w:rsidR="00276632">
        <w:rPr>
          <w:rFonts w:cs="Arial"/>
          <w:color w:val="000000" w:themeColor="text1"/>
          <w:lang w:val="fr-CH"/>
        </w:rPr>
        <w:t>lectricité (</w:t>
      </w:r>
      <w:proofErr w:type="gramStart"/>
      <w:r w:rsidR="00276632">
        <w:rPr>
          <w:rFonts w:cs="Arial"/>
          <w:color w:val="000000" w:themeColor="text1"/>
          <w:lang w:val="fr-CH"/>
        </w:rPr>
        <w:t>OAOr;</w:t>
      </w:r>
      <w:proofErr w:type="gramEnd"/>
      <w:r w:rsidR="00276632">
        <w:rPr>
          <w:rFonts w:cs="Arial"/>
          <w:color w:val="000000" w:themeColor="text1"/>
          <w:lang w:val="fr-CH"/>
        </w:rPr>
        <w:t xml:space="preserve"> RS</w:t>
      </w:r>
      <w:r w:rsidR="002F41C3">
        <w:rPr>
          <w:rFonts w:cs="Arial"/>
          <w:color w:val="000000" w:themeColor="text1"/>
          <w:lang w:val="fr-CH"/>
        </w:rPr>
        <w:t> </w:t>
      </w:r>
      <w:r w:rsidR="00276632">
        <w:rPr>
          <w:rFonts w:cs="Arial"/>
          <w:color w:val="000000" w:themeColor="text1"/>
          <w:lang w:val="fr-CH"/>
        </w:rPr>
        <w:t>730.101.1). Pour les</w:t>
      </w:r>
      <w:r w:rsidRPr="00EC48B6">
        <w:rPr>
          <w:rFonts w:cs="Arial"/>
          <w:color w:val="000000" w:themeColor="text1"/>
          <w:lang w:val="fr-CH"/>
        </w:rPr>
        <w:t xml:space="preserve"> installations d'une puissance de raccordement supérieure à 30</w:t>
      </w:r>
      <w:r w:rsidR="002F41C3">
        <w:rPr>
          <w:rFonts w:cs="Arial"/>
          <w:color w:val="000000" w:themeColor="text1"/>
          <w:lang w:val="fr-CH"/>
        </w:rPr>
        <w:t> </w:t>
      </w:r>
      <w:proofErr w:type="gramStart"/>
      <w:r w:rsidRPr="00EC48B6">
        <w:rPr>
          <w:rFonts w:cs="Arial"/>
          <w:color w:val="000000" w:themeColor="text1"/>
          <w:lang w:val="fr-CH"/>
        </w:rPr>
        <w:t>kVA:</w:t>
      </w:r>
      <w:proofErr w:type="gramEnd"/>
      <w:r w:rsidRPr="00EC48B6">
        <w:rPr>
          <w:rFonts w:cs="Arial"/>
          <w:color w:val="000000" w:themeColor="text1"/>
          <w:lang w:val="fr-CH"/>
        </w:rPr>
        <w:t xml:space="preserve"> application de l'ordonnance sur l'attestation du type de production (OAOr; RS</w:t>
      </w:r>
      <w:r w:rsidR="002F41C3">
        <w:rPr>
          <w:rFonts w:cs="Arial"/>
          <w:color w:val="000000" w:themeColor="text1"/>
          <w:lang w:val="fr-CH"/>
        </w:rPr>
        <w:t> </w:t>
      </w:r>
      <w:r w:rsidRPr="00EC48B6">
        <w:rPr>
          <w:rFonts w:cs="Arial"/>
          <w:color w:val="000000" w:themeColor="text1"/>
          <w:lang w:val="fr-CH"/>
        </w:rPr>
        <w:t>730.101.1) et coordination de l'attestation d'origine</w:t>
      </w:r>
      <w:r w:rsidR="009C23CD" w:rsidRPr="00EC48B6">
        <w:rPr>
          <w:rFonts w:cs="Arial"/>
          <w:color w:val="000000" w:themeColor="text1"/>
          <w:lang w:val="fr-CH"/>
        </w:rPr>
        <w:t xml:space="preserve"> </w:t>
      </w:r>
    </w:p>
    <w:p w:rsidR="008256BE" w:rsidRDefault="00EC48B6" w:rsidP="00EC48B6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EC48B6">
        <w:rPr>
          <w:rFonts w:cs="Arial"/>
          <w:color w:val="000000" w:themeColor="text1"/>
          <w:lang w:val="fr-CH"/>
        </w:rPr>
        <w:t>Ordonnance sur les installations à basse tension (</w:t>
      </w:r>
      <w:proofErr w:type="gramStart"/>
      <w:r w:rsidRPr="00EC48B6">
        <w:rPr>
          <w:rFonts w:cs="Arial"/>
          <w:color w:val="000000" w:themeColor="text1"/>
          <w:lang w:val="fr-CH"/>
        </w:rPr>
        <w:t>OIBT;</w:t>
      </w:r>
      <w:proofErr w:type="gramEnd"/>
      <w:r w:rsidRPr="00EC48B6">
        <w:rPr>
          <w:rFonts w:cs="Arial"/>
          <w:color w:val="000000" w:themeColor="text1"/>
          <w:lang w:val="fr-CH"/>
        </w:rPr>
        <w:t xml:space="preserve"> RS 734.27)</w:t>
      </w:r>
    </w:p>
    <w:p w:rsidR="008256BE" w:rsidRDefault="00EC48B6" w:rsidP="00EC48B6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EC48B6">
        <w:rPr>
          <w:rFonts w:cs="Arial"/>
          <w:color w:val="000000" w:themeColor="text1"/>
          <w:lang w:val="fr-CH"/>
        </w:rPr>
        <w:t>Norme sur les installations à basse tension (</w:t>
      </w:r>
      <w:proofErr w:type="gramStart"/>
      <w:r w:rsidRPr="00EC48B6">
        <w:rPr>
          <w:rFonts w:cs="Arial"/>
          <w:color w:val="000000" w:themeColor="text1"/>
          <w:lang w:val="fr-CH"/>
        </w:rPr>
        <w:t>NIBT;</w:t>
      </w:r>
      <w:proofErr w:type="gramEnd"/>
      <w:r w:rsidRPr="00EC48B6">
        <w:rPr>
          <w:rFonts w:cs="Arial"/>
          <w:color w:val="000000" w:themeColor="text1"/>
          <w:lang w:val="fr-CH"/>
        </w:rPr>
        <w:t xml:space="preserve"> SN SEV 1000)</w:t>
      </w:r>
    </w:p>
    <w:p w:rsidR="008256BE" w:rsidRDefault="00B53368" w:rsidP="00B53368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B53368">
        <w:rPr>
          <w:rFonts w:cs="Arial"/>
          <w:color w:val="000000" w:themeColor="text1"/>
          <w:lang w:val="fr-CH"/>
        </w:rPr>
        <w:t>Recommandations de l'ASE 4022 concernant les installations de protection contre la foudre et norme SN EN 62305 pour la protection contre la foudre</w:t>
      </w:r>
    </w:p>
    <w:p w:rsidR="008256BE" w:rsidRDefault="00D9438D" w:rsidP="00D9438D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D9438D">
        <w:rPr>
          <w:rFonts w:cs="Arial"/>
          <w:color w:val="000000" w:themeColor="text1"/>
          <w:lang w:val="fr-CH"/>
        </w:rPr>
        <w:t xml:space="preserve">SN EN </w:t>
      </w:r>
      <w:proofErr w:type="gramStart"/>
      <w:r w:rsidRPr="00D9438D">
        <w:rPr>
          <w:rFonts w:cs="Arial"/>
          <w:color w:val="000000" w:themeColor="text1"/>
          <w:lang w:val="fr-CH"/>
        </w:rPr>
        <w:t>62446;</w:t>
      </w:r>
      <w:proofErr w:type="gramEnd"/>
      <w:r w:rsidRPr="00D9438D">
        <w:rPr>
          <w:rFonts w:cs="Arial"/>
          <w:color w:val="000000" w:themeColor="text1"/>
          <w:lang w:val="fr-CH"/>
        </w:rPr>
        <w:t xml:space="preserve"> IEC 62446 Systèmes photovoltaïques connectés au réseau électrique - exigences minimales en matière de documentation </w:t>
      </w:r>
      <w:r w:rsidR="00276632">
        <w:rPr>
          <w:rFonts w:cs="Arial"/>
          <w:color w:val="000000" w:themeColor="text1"/>
          <w:lang w:val="fr-CH"/>
        </w:rPr>
        <w:t>technique, contrôle  de la mise en servi</w:t>
      </w:r>
      <w:r w:rsidRPr="00D9438D">
        <w:rPr>
          <w:rFonts w:cs="Arial"/>
          <w:color w:val="000000" w:themeColor="text1"/>
          <w:lang w:val="fr-CH"/>
        </w:rPr>
        <w:t>ce et exigences applicables au contrôle</w:t>
      </w:r>
    </w:p>
    <w:p w:rsidR="008256BE" w:rsidRDefault="00D9438D" w:rsidP="00D9438D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D9438D">
        <w:rPr>
          <w:rFonts w:cs="Arial"/>
          <w:color w:val="000000" w:themeColor="text1"/>
          <w:lang w:val="fr-CH"/>
        </w:rPr>
        <w:t>Normes de protection incendie de l'Association des établissements cantonaux d'assurance incendie (AEAI)</w:t>
      </w:r>
    </w:p>
    <w:p w:rsidR="008256BE" w:rsidRPr="00276632" w:rsidRDefault="009A7A98" w:rsidP="009A7A98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9A7A98">
        <w:rPr>
          <w:rFonts w:cs="Arial"/>
          <w:color w:val="000000" w:themeColor="text1"/>
          <w:lang w:val="fr-CH"/>
        </w:rPr>
        <w:t xml:space="preserve">Recommandation de la </w:t>
      </w:r>
      <w:r w:rsidRPr="00276632">
        <w:rPr>
          <w:rFonts w:cs="Arial"/>
          <w:color w:val="000000" w:themeColor="text1"/>
          <w:lang w:val="fr-CH"/>
        </w:rPr>
        <w:t xml:space="preserve">KBOB concernant le calcul de rentabilité </w:t>
      </w:r>
      <w:r w:rsidR="00276632">
        <w:rPr>
          <w:rFonts w:cs="Arial"/>
          <w:color w:val="000000" w:themeColor="text1"/>
          <w:lang w:val="fr-CH"/>
        </w:rPr>
        <w:t>pour les investissements dans le bâtiment</w:t>
      </w:r>
    </w:p>
    <w:p w:rsidR="008256BE" w:rsidRDefault="008256BE" w:rsidP="009C23CD">
      <w:pPr>
        <w:rPr>
          <w:rFonts w:cs="Arial"/>
          <w:color w:val="000000" w:themeColor="text1"/>
          <w:lang w:val="fr-CH"/>
        </w:rPr>
      </w:pPr>
    </w:p>
    <w:p w:rsidR="008256BE" w:rsidRDefault="009A7A98" w:rsidP="009A7A98">
      <w:pPr>
        <w:rPr>
          <w:rFonts w:cs="Arial"/>
          <w:b/>
          <w:color w:val="000000" w:themeColor="text1"/>
          <w:lang w:val="fr-CH"/>
        </w:rPr>
      </w:pPr>
      <w:r w:rsidRPr="009A7A98">
        <w:rPr>
          <w:rFonts w:cs="Arial"/>
          <w:b/>
          <w:color w:val="000000" w:themeColor="text1"/>
          <w:lang w:val="fr-CH"/>
        </w:rPr>
        <w:t>Cahier des charges relatif à la planification spécialisée</w:t>
      </w:r>
    </w:p>
    <w:p w:rsidR="008256BE" w:rsidRDefault="00D45283" w:rsidP="00D45283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proofErr w:type="gramStart"/>
      <w:r>
        <w:rPr>
          <w:rFonts w:cs="Arial"/>
          <w:color w:val="000000" w:themeColor="text1"/>
          <w:lang w:val="fr-CH"/>
        </w:rPr>
        <w:t>Principe:</w:t>
      </w:r>
      <w:proofErr w:type="gramEnd"/>
      <w:r>
        <w:rPr>
          <w:rFonts w:cs="Arial"/>
          <w:color w:val="000000" w:themeColor="text1"/>
          <w:lang w:val="fr-CH"/>
        </w:rPr>
        <w:t xml:space="preserve"> </w:t>
      </w:r>
      <w:r w:rsidR="00276632">
        <w:rPr>
          <w:rFonts w:cs="Arial"/>
          <w:color w:val="000000" w:themeColor="text1"/>
          <w:lang w:val="fr-CH"/>
        </w:rPr>
        <w:t xml:space="preserve">lors de la planification, </w:t>
      </w:r>
      <w:r>
        <w:rPr>
          <w:rFonts w:cs="Arial"/>
          <w:color w:val="000000" w:themeColor="text1"/>
          <w:lang w:val="fr-CH"/>
        </w:rPr>
        <w:t xml:space="preserve">le planificateur spécialisé intègre l'installation photovoltaïque </w:t>
      </w:r>
      <w:r w:rsidR="00276632">
        <w:rPr>
          <w:rFonts w:cs="Arial"/>
          <w:color w:val="000000" w:themeColor="text1"/>
          <w:lang w:val="fr-CH"/>
        </w:rPr>
        <w:t>aux</w:t>
      </w:r>
      <w:r>
        <w:rPr>
          <w:rFonts w:cs="Arial"/>
          <w:color w:val="000000" w:themeColor="text1"/>
          <w:lang w:val="fr-CH"/>
        </w:rPr>
        <w:t xml:space="preserve"> installations techniques du bâtiment de façon à ce que l'entrepreneur qui exécute les travaux n'ait pas à apporter de modifications </w:t>
      </w:r>
      <w:r w:rsidR="00276632">
        <w:rPr>
          <w:rFonts w:cs="Arial"/>
          <w:color w:val="000000" w:themeColor="text1"/>
          <w:lang w:val="fr-CH"/>
        </w:rPr>
        <w:t>importantes au concept</w:t>
      </w:r>
    </w:p>
    <w:p w:rsidR="008256BE" w:rsidRDefault="00D45283" w:rsidP="00D45283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D45283">
        <w:rPr>
          <w:rFonts w:cs="Arial"/>
          <w:color w:val="000000" w:themeColor="text1"/>
          <w:lang w:val="fr-CH"/>
        </w:rPr>
        <w:t>Consultation des documents techniques normatifs</w:t>
      </w:r>
    </w:p>
    <w:p w:rsidR="008256BE" w:rsidRDefault="00D45283" w:rsidP="00D45283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D45283">
        <w:rPr>
          <w:rFonts w:cs="Arial"/>
          <w:color w:val="000000" w:themeColor="text1"/>
          <w:lang w:val="fr-CH"/>
        </w:rPr>
        <w:t>Analyse ou état des lieux concernant les installations techniques</w:t>
      </w:r>
    </w:p>
    <w:p w:rsidR="008256BE" w:rsidRDefault="00F26C18" w:rsidP="00F26C18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Analyse ou état des lieux concernant la compatibilité électromagnétique (concept CEC)</w:t>
      </w:r>
      <w:r w:rsidR="009C23CD" w:rsidRPr="00D45283">
        <w:rPr>
          <w:rFonts w:cs="Arial"/>
          <w:color w:val="000000" w:themeColor="text1"/>
          <w:lang w:val="fr-CH"/>
        </w:rPr>
        <w:t xml:space="preserve"> </w:t>
      </w:r>
    </w:p>
    <w:p w:rsidR="008256BE" w:rsidRDefault="00F26C18" w:rsidP="00F26C18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Evaluation des risques de défaillance prématurée et de réparation pour les solutions intégrées à des éléments de construction</w:t>
      </w:r>
    </w:p>
    <w:p w:rsidR="008256BE" w:rsidRDefault="00F26C18" w:rsidP="00F26C18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Analyse ou état des lieux concernant le concept de mesure</w:t>
      </w:r>
    </w:p>
    <w:p w:rsidR="008256BE" w:rsidRDefault="00F26C18" w:rsidP="0036363A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 xml:space="preserve">Clarifications préalables </w:t>
      </w:r>
      <w:r w:rsidR="00DE2551">
        <w:rPr>
          <w:rFonts w:cs="Arial"/>
          <w:color w:val="000000" w:themeColor="text1"/>
          <w:lang w:val="fr-CH"/>
        </w:rPr>
        <w:t xml:space="preserve">avec le gestionnaire du réseau de distribution </w:t>
      </w:r>
      <w:r>
        <w:rPr>
          <w:rFonts w:cs="Arial"/>
          <w:color w:val="000000" w:themeColor="text1"/>
          <w:lang w:val="fr-CH"/>
        </w:rPr>
        <w:t>concernant les rétroactions et l'autorisation de raccordement.</w:t>
      </w:r>
      <w:r w:rsidR="009C23CD" w:rsidRPr="00F26C18">
        <w:rPr>
          <w:rFonts w:cs="Arial"/>
          <w:color w:val="000000" w:themeColor="text1"/>
          <w:lang w:val="fr-CH"/>
        </w:rPr>
        <w:t xml:space="preserve"> </w:t>
      </w:r>
      <w:r w:rsidR="00276632">
        <w:rPr>
          <w:rFonts w:cs="Arial"/>
          <w:color w:val="000000" w:themeColor="text1"/>
          <w:lang w:val="fr-CH"/>
        </w:rPr>
        <w:t>Lors</w:t>
      </w:r>
      <w:r w:rsidR="0036363A">
        <w:rPr>
          <w:rFonts w:cs="Arial"/>
          <w:color w:val="000000" w:themeColor="text1"/>
          <w:lang w:val="fr-CH"/>
        </w:rPr>
        <w:t xml:space="preserve">que le maître de l'ouvrage est le gestionnaire de réseau du site, il convient de </w:t>
      </w:r>
      <w:r w:rsidR="00DE2551">
        <w:rPr>
          <w:rFonts w:cs="Arial"/>
          <w:color w:val="000000" w:themeColor="text1"/>
          <w:lang w:val="fr-CH"/>
        </w:rPr>
        <w:t>discuter</w:t>
      </w:r>
      <w:r w:rsidR="0036363A">
        <w:rPr>
          <w:rFonts w:cs="Arial"/>
          <w:color w:val="000000" w:themeColor="text1"/>
          <w:lang w:val="fr-CH"/>
        </w:rPr>
        <w:t xml:space="preserve"> avec un spécialiste </w:t>
      </w:r>
      <w:proofErr w:type="gramStart"/>
      <w:r w:rsidR="0036363A">
        <w:rPr>
          <w:rFonts w:cs="Arial"/>
          <w:color w:val="000000" w:themeColor="text1"/>
          <w:lang w:val="fr-CH"/>
        </w:rPr>
        <w:t>externe;</w:t>
      </w:r>
      <w:proofErr w:type="gramEnd"/>
      <w:r w:rsidR="0036363A">
        <w:rPr>
          <w:rFonts w:cs="Arial"/>
          <w:color w:val="000000" w:themeColor="text1"/>
          <w:lang w:val="fr-CH"/>
        </w:rPr>
        <w:t xml:space="preserve"> des informations sont fourn</w:t>
      </w:r>
      <w:r w:rsidR="0001782E">
        <w:rPr>
          <w:rFonts w:cs="Arial"/>
          <w:color w:val="000000" w:themeColor="text1"/>
          <w:lang w:val="fr-CH"/>
        </w:rPr>
        <w:t>ies par l'OFCL-OM ou l'OFCL-FB</w:t>
      </w:r>
      <w:r w:rsidR="0036363A">
        <w:rPr>
          <w:rFonts w:cs="Arial"/>
          <w:color w:val="000000" w:themeColor="text1"/>
          <w:lang w:val="fr-CH"/>
        </w:rPr>
        <w:t>.</w:t>
      </w:r>
    </w:p>
    <w:p w:rsidR="008256BE" w:rsidRDefault="000E3B9A" w:rsidP="000E3B9A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lastRenderedPageBreak/>
        <w:t>Documentation des concepts et installations modifiés tels que l'alimentation en énergie électrique, le conce</w:t>
      </w:r>
      <w:r w:rsidR="00DE2551">
        <w:rPr>
          <w:rFonts w:cs="Arial"/>
          <w:color w:val="000000" w:themeColor="text1"/>
          <w:lang w:val="fr-CH"/>
        </w:rPr>
        <w:t>pt de mesure, le concept CEC, le système de</w:t>
      </w:r>
      <w:r>
        <w:rPr>
          <w:rFonts w:cs="Arial"/>
          <w:color w:val="000000" w:themeColor="text1"/>
          <w:lang w:val="fr-CH"/>
        </w:rPr>
        <w:t xml:space="preserve"> protection contre la foudre ou </w:t>
      </w:r>
      <w:r w:rsidR="00DE2551">
        <w:rPr>
          <w:rFonts w:cs="Arial"/>
          <w:color w:val="000000" w:themeColor="text1"/>
          <w:lang w:val="fr-CH"/>
        </w:rPr>
        <w:t>le système de</w:t>
      </w:r>
      <w:r>
        <w:rPr>
          <w:rFonts w:cs="Arial"/>
          <w:color w:val="000000" w:themeColor="text1"/>
          <w:lang w:val="fr-CH"/>
        </w:rPr>
        <w:t xml:space="preserve"> protection contre la surtension</w:t>
      </w:r>
    </w:p>
    <w:p w:rsidR="008256BE" w:rsidRDefault="000E3B9A" w:rsidP="000E3B9A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Intégration des mesures dans le système de mesure</w:t>
      </w:r>
      <w:r w:rsidR="009C23CD" w:rsidRPr="000E3B9A">
        <w:rPr>
          <w:rFonts w:cs="Arial"/>
          <w:color w:val="000000" w:themeColor="text1"/>
          <w:lang w:val="fr-CH"/>
        </w:rPr>
        <w:t xml:space="preserve"> </w:t>
      </w:r>
      <w:r w:rsidR="00DE2551">
        <w:rPr>
          <w:rFonts w:cs="Arial"/>
          <w:color w:val="000000" w:themeColor="text1"/>
          <w:lang w:val="fr-CH"/>
        </w:rPr>
        <w:t>disponible</w:t>
      </w:r>
    </w:p>
    <w:p w:rsidR="008256BE" w:rsidRDefault="000E3B9A" w:rsidP="000E3B9A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Mise à jour des documents modifiés, en particulier du schéma de princi</w:t>
      </w:r>
      <w:r w:rsidR="00DE2551">
        <w:rPr>
          <w:rFonts w:cs="Arial"/>
          <w:color w:val="000000" w:themeColor="text1"/>
          <w:lang w:val="fr-CH"/>
        </w:rPr>
        <w:t>pe de l'alimentation en énergie et</w:t>
      </w:r>
      <w:r>
        <w:rPr>
          <w:rFonts w:cs="Arial"/>
          <w:color w:val="000000" w:themeColor="text1"/>
          <w:lang w:val="fr-CH"/>
        </w:rPr>
        <w:t xml:space="preserve"> du schéma des appareils de connexion</w:t>
      </w:r>
    </w:p>
    <w:p w:rsidR="008256BE" w:rsidRDefault="00A22B6C" w:rsidP="00A22B6C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Coordination du contrôle de sécurité sur l'installation à basse tension conformément à l'OIBT</w:t>
      </w:r>
    </w:p>
    <w:p w:rsidR="008256BE" w:rsidRDefault="00A22B6C" w:rsidP="00A22B6C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Documentation de la fin des travaux ou rapport final analogue à l'étude de faisabilité</w:t>
      </w:r>
    </w:p>
    <w:p w:rsidR="008256BE" w:rsidRDefault="00A22B6C" w:rsidP="00A22B6C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t>Instruction du personnel opérateur (exploitation, dysfonctionnements) et des pompiers (arrêt d'urgence, dangers)</w:t>
      </w:r>
    </w:p>
    <w:p w:rsidR="008256BE" w:rsidRDefault="008256BE" w:rsidP="009C23CD">
      <w:pPr>
        <w:rPr>
          <w:rFonts w:cs="Arial"/>
          <w:color w:val="000000" w:themeColor="text1"/>
          <w:lang w:val="fr-CH"/>
        </w:rPr>
      </w:pPr>
    </w:p>
    <w:p w:rsidR="008256BE" w:rsidRPr="00DE2551" w:rsidRDefault="00A22B6C" w:rsidP="00A22B6C">
      <w:pPr>
        <w:rPr>
          <w:rFonts w:cs="Arial"/>
          <w:b/>
          <w:color w:val="000000" w:themeColor="text1"/>
          <w:lang w:val="fr-CH"/>
        </w:rPr>
      </w:pPr>
      <w:r w:rsidRPr="00DE2551">
        <w:rPr>
          <w:rFonts w:cs="Arial"/>
          <w:b/>
          <w:color w:val="000000" w:themeColor="text1"/>
          <w:lang w:val="fr-CH"/>
        </w:rPr>
        <w:t xml:space="preserve">Prescriptions techniques du maître de l'ouvrage (OFCL-OM) </w:t>
      </w:r>
      <w:r w:rsidR="00DE2551">
        <w:rPr>
          <w:rFonts w:cs="Arial"/>
          <w:b/>
          <w:color w:val="000000" w:themeColor="text1"/>
          <w:lang w:val="fr-CH"/>
        </w:rPr>
        <w:t>concernant les</w:t>
      </w:r>
      <w:r w:rsidRPr="00DE2551">
        <w:rPr>
          <w:rFonts w:cs="Arial"/>
          <w:b/>
          <w:color w:val="000000" w:themeColor="text1"/>
          <w:lang w:val="fr-CH"/>
        </w:rPr>
        <w:t xml:space="preserve"> installations photovoltaïques </w:t>
      </w:r>
    </w:p>
    <w:p w:rsidR="008256BE" w:rsidRDefault="00A22B6C" w:rsidP="004D3B42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proofErr w:type="gramStart"/>
      <w:r w:rsidRPr="00A22B6C">
        <w:rPr>
          <w:rFonts w:cs="Arial"/>
          <w:color w:val="000000" w:themeColor="text1"/>
          <w:lang w:val="fr-CH"/>
        </w:rPr>
        <w:t>But:</w:t>
      </w:r>
      <w:proofErr w:type="gramEnd"/>
      <w:r w:rsidRPr="00A22B6C">
        <w:rPr>
          <w:rFonts w:cs="Arial"/>
          <w:color w:val="000000" w:themeColor="text1"/>
          <w:lang w:val="fr-CH"/>
        </w:rPr>
        <w:t xml:space="preserve"> en règle générale, il convient de recourir à des techniques éprouvées.</w:t>
      </w:r>
      <w:r w:rsidR="009C23CD" w:rsidRPr="00A22B6C">
        <w:rPr>
          <w:rFonts w:cs="Arial"/>
          <w:color w:val="000000" w:themeColor="text1"/>
          <w:lang w:val="fr-CH"/>
        </w:rPr>
        <w:t xml:space="preserve"> </w:t>
      </w:r>
      <w:r>
        <w:rPr>
          <w:rFonts w:cs="Arial"/>
          <w:color w:val="000000" w:themeColor="text1"/>
          <w:lang w:val="fr-CH"/>
        </w:rPr>
        <w:t xml:space="preserve">Le choix des types de module </w:t>
      </w:r>
      <w:r w:rsidR="0001782E">
        <w:rPr>
          <w:rFonts w:cs="Arial"/>
          <w:color w:val="000000" w:themeColor="text1"/>
          <w:lang w:val="fr-CH"/>
        </w:rPr>
        <w:t>est dicté</w:t>
      </w:r>
      <w:r>
        <w:rPr>
          <w:rFonts w:cs="Arial"/>
          <w:color w:val="000000" w:themeColor="text1"/>
          <w:lang w:val="fr-CH"/>
        </w:rPr>
        <w:t xml:space="preserve"> en </w:t>
      </w:r>
      <w:r w:rsidR="00DE2551">
        <w:rPr>
          <w:rFonts w:cs="Arial"/>
          <w:color w:val="000000" w:themeColor="text1"/>
          <w:lang w:val="fr-CH"/>
        </w:rPr>
        <w:t>principe</w:t>
      </w:r>
      <w:r>
        <w:rPr>
          <w:rFonts w:cs="Arial"/>
          <w:color w:val="000000" w:themeColor="text1"/>
          <w:lang w:val="fr-CH"/>
        </w:rPr>
        <w:t xml:space="preserve"> </w:t>
      </w:r>
      <w:r w:rsidR="0001782E">
        <w:rPr>
          <w:rFonts w:cs="Arial"/>
          <w:color w:val="000000" w:themeColor="text1"/>
          <w:lang w:val="fr-CH"/>
        </w:rPr>
        <w:t>par</w:t>
      </w:r>
      <w:r>
        <w:rPr>
          <w:rFonts w:cs="Arial"/>
          <w:color w:val="000000" w:themeColor="text1"/>
          <w:lang w:val="fr-CH"/>
        </w:rPr>
        <w:t xml:space="preserve"> l'utilisation </w:t>
      </w:r>
      <w:r w:rsidR="00DE2551">
        <w:rPr>
          <w:rFonts w:cs="Arial"/>
          <w:color w:val="000000" w:themeColor="text1"/>
          <w:lang w:val="fr-CH"/>
        </w:rPr>
        <w:t xml:space="preserve">efficace </w:t>
      </w:r>
      <w:r>
        <w:rPr>
          <w:rFonts w:cs="Arial"/>
          <w:color w:val="000000" w:themeColor="text1"/>
          <w:lang w:val="fr-CH"/>
        </w:rPr>
        <w:t xml:space="preserve">des espaces, </w:t>
      </w:r>
      <w:r w:rsidR="0001782E">
        <w:rPr>
          <w:rFonts w:cs="Arial"/>
          <w:color w:val="000000" w:themeColor="text1"/>
          <w:lang w:val="fr-CH"/>
        </w:rPr>
        <w:t>l</w:t>
      </w:r>
      <w:r>
        <w:rPr>
          <w:rFonts w:cs="Arial"/>
          <w:color w:val="000000" w:themeColor="text1"/>
          <w:lang w:val="fr-CH"/>
        </w:rPr>
        <w:t xml:space="preserve">es effets </w:t>
      </w:r>
      <w:r w:rsidR="00DE2551">
        <w:rPr>
          <w:rFonts w:cs="Arial"/>
          <w:color w:val="000000" w:themeColor="text1"/>
          <w:lang w:val="fr-CH"/>
        </w:rPr>
        <w:t>garantis</w:t>
      </w:r>
      <w:r>
        <w:rPr>
          <w:rFonts w:cs="Arial"/>
          <w:color w:val="000000" w:themeColor="text1"/>
          <w:lang w:val="fr-CH"/>
        </w:rPr>
        <w:t xml:space="preserve"> </w:t>
      </w:r>
      <w:r w:rsidR="00DE2551">
        <w:rPr>
          <w:rFonts w:cs="Arial"/>
          <w:color w:val="000000" w:themeColor="text1"/>
          <w:lang w:val="fr-CH"/>
        </w:rPr>
        <w:t>et</w:t>
      </w:r>
      <w:r>
        <w:rPr>
          <w:rFonts w:cs="Arial"/>
          <w:color w:val="000000" w:themeColor="text1"/>
          <w:lang w:val="fr-CH"/>
        </w:rPr>
        <w:t xml:space="preserve"> </w:t>
      </w:r>
      <w:r w:rsidR="0001782E">
        <w:rPr>
          <w:rFonts w:cs="Arial"/>
          <w:color w:val="000000" w:themeColor="text1"/>
          <w:lang w:val="fr-CH"/>
        </w:rPr>
        <w:t>les</w:t>
      </w:r>
      <w:r>
        <w:rPr>
          <w:rFonts w:cs="Arial"/>
          <w:color w:val="000000" w:themeColor="text1"/>
          <w:lang w:val="fr-CH"/>
        </w:rPr>
        <w:t xml:space="preserve"> coûts de revient</w:t>
      </w:r>
      <w:r w:rsidR="00DE2551">
        <w:rPr>
          <w:rFonts w:cs="Arial"/>
          <w:color w:val="000000" w:themeColor="text1"/>
          <w:lang w:val="fr-CH"/>
        </w:rPr>
        <w:t xml:space="preserve"> avantageux.</w:t>
      </w:r>
      <w:r w:rsidR="009C23CD" w:rsidRPr="00A22B6C">
        <w:rPr>
          <w:rFonts w:cs="Arial"/>
          <w:color w:val="000000" w:themeColor="text1"/>
          <w:lang w:val="fr-CH"/>
        </w:rPr>
        <w:t xml:space="preserve"> </w:t>
      </w:r>
      <w:r w:rsidR="004D3B42">
        <w:rPr>
          <w:rFonts w:cs="Arial"/>
          <w:color w:val="000000" w:themeColor="text1"/>
          <w:lang w:val="fr-CH"/>
        </w:rPr>
        <w:t>L'expérience montre que les modules cristallins engendrent des coûts de revient optimaux (</w:t>
      </w:r>
      <w:proofErr w:type="gramStart"/>
      <w:r w:rsidR="004D3B42">
        <w:rPr>
          <w:rFonts w:cs="Arial"/>
          <w:color w:val="000000" w:themeColor="text1"/>
          <w:lang w:val="fr-CH"/>
        </w:rPr>
        <w:t>état:</w:t>
      </w:r>
      <w:proofErr w:type="gramEnd"/>
      <w:r w:rsidR="004D3B42">
        <w:rPr>
          <w:rFonts w:cs="Arial"/>
          <w:color w:val="000000" w:themeColor="text1"/>
          <w:lang w:val="fr-CH"/>
        </w:rPr>
        <w:t xml:space="preserve"> </w:t>
      </w:r>
      <w:r w:rsidR="004D3B42" w:rsidRPr="008256BE">
        <w:rPr>
          <w:rFonts w:cs="Arial"/>
          <w:color w:val="000000" w:themeColor="text1"/>
          <w:lang w:val="fr-CH"/>
        </w:rPr>
        <w:t>2013)</w:t>
      </w:r>
      <w:r w:rsidR="00276632">
        <w:rPr>
          <w:rFonts w:cs="Arial"/>
          <w:color w:val="000000" w:themeColor="text1"/>
          <w:lang w:val="fr-CH"/>
        </w:rPr>
        <w:t>.</w:t>
      </w:r>
    </w:p>
    <w:p w:rsidR="008256BE" w:rsidRPr="006B7034" w:rsidRDefault="006B7034" w:rsidP="006B7034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6B7034">
        <w:rPr>
          <w:rFonts w:cs="Arial"/>
          <w:color w:val="000000" w:themeColor="text1"/>
          <w:lang w:val="fr-CH"/>
        </w:rPr>
        <w:t xml:space="preserve">Normalement, l'OFCL ne demande </w:t>
      </w:r>
      <w:r w:rsidR="00DE2551">
        <w:rPr>
          <w:rFonts w:cs="Arial"/>
          <w:color w:val="000000" w:themeColor="text1"/>
          <w:lang w:val="fr-CH"/>
        </w:rPr>
        <w:t>aucune</w:t>
      </w:r>
      <w:r w:rsidRPr="006B7034">
        <w:rPr>
          <w:rFonts w:cs="Arial"/>
          <w:color w:val="000000" w:themeColor="text1"/>
          <w:lang w:val="fr-CH"/>
        </w:rPr>
        <w:t xml:space="preserve"> indemnité unique pour les petites installations photovoltaïques</w:t>
      </w:r>
      <w:r w:rsidR="00DE2551">
        <w:rPr>
          <w:rFonts w:cs="Arial"/>
          <w:color w:val="000000" w:themeColor="text1"/>
          <w:lang w:val="fr-CH"/>
        </w:rPr>
        <w:t xml:space="preserve"> au sens de l'ordonnance sur l'énergie</w:t>
      </w:r>
      <w:r w:rsidRPr="006B7034">
        <w:rPr>
          <w:rFonts w:cs="Arial"/>
          <w:color w:val="000000" w:themeColor="text1"/>
          <w:lang w:val="fr-CH"/>
        </w:rPr>
        <w:t xml:space="preserve">, </w:t>
      </w:r>
      <w:r w:rsidR="0001782E">
        <w:rPr>
          <w:rFonts w:cs="Arial"/>
          <w:color w:val="000000" w:themeColor="text1"/>
          <w:lang w:val="fr-CH"/>
        </w:rPr>
        <w:t xml:space="preserve">ni aucune </w:t>
      </w:r>
      <w:r w:rsidRPr="006B7034">
        <w:rPr>
          <w:rFonts w:cs="Arial"/>
          <w:color w:val="000000" w:themeColor="text1"/>
          <w:lang w:val="fr-CH"/>
        </w:rPr>
        <w:t>contribution issue de la RPC ou d'une bourse d'électricité solaire.</w:t>
      </w:r>
    </w:p>
    <w:p w:rsidR="008256BE" w:rsidRDefault="0052449F" w:rsidP="008645C2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52449F">
        <w:rPr>
          <w:rFonts w:cs="Arial"/>
          <w:color w:val="000000" w:themeColor="text1"/>
          <w:lang w:val="fr-CH"/>
        </w:rPr>
        <w:t>Maintien et poursuite de la mise en application du concept CEC ainsi que du concept de protection contre la foudre.</w:t>
      </w:r>
      <w:r w:rsidR="009C23CD" w:rsidRPr="0052449F">
        <w:rPr>
          <w:rFonts w:cs="Arial"/>
          <w:color w:val="000000" w:themeColor="text1"/>
          <w:lang w:val="fr-CH"/>
        </w:rPr>
        <w:t xml:space="preserve"> </w:t>
      </w:r>
      <w:r>
        <w:rPr>
          <w:rFonts w:cs="Arial"/>
          <w:color w:val="000000" w:themeColor="text1"/>
          <w:lang w:val="fr-CH"/>
        </w:rPr>
        <w:t>Le concept de zones de protection contre la foudre doit être maintenu.</w:t>
      </w:r>
      <w:r w:rsidR="009C23CD" w:rsidRPr="0052449F">
        <w:rPr>
          <w:rFonts w:cs="Arial"/>
          <w:color w:val="000000" w:themeColor="text1"/>
          <w:lang w:val="fr-CH"/>
        </w:rPr>
        <w:t xml:space="preserve"> </w:t>
      </w:r>
      <w:r w:rsidR="008645C2">
        <w:rPr>
          <w:rFonts w:cs="Arial"/>
          <w:color w:val="000000" w:themeColor="text1"/>
          <w:lang w:val="fr-CH"/>
        </w:rPr>
        <w:t xml:space="preserve">Les </w:t>
      </w:r>
      <w:r w:rsidR="00DE2551">
        <w:rPr>
          <w:rFonts w:cs="Arial"/>
          <w:color w:val="000000" w:themeColor="text1"/>
          <w:lang w:val="fr-CH"/>
        </w:rPr>
        <w:t>points de passage</w:t>
      </w:r>
      <w:r w:rsidR="008645C2">
        <w:rPr>
          <w:rFonts w:cs="Arial"/>
          <w:color w:val="000000" w:themeColor="text1"/>
          <w:lang w:val="fr-CH"/>
        </w:rPr>
        <w:t xml:space="preserve"> </w:t>
      </w:r>
      <w:r w:rsidR="00DE2551">
        <w:rPr>
          <w:rFonts w:cs="Arial"/>
          <w:color w:val="000000" w:themeColor="text1"/>
          <w:lang w:val="fr-CH"/>
        </w:rPr>
        <w:t>des</w:t>
      </w:r>
      <w:r w:rsidR="008645C2">
        <w:rPr>
          <w:rFonts w:cs="Arial"/>
          <w:color w:val="000000" w:themeColor="text1"/>
          <w:lang w:val="fr-CH"/>
        </w:rPr>
        <w:t xml:space="preserve"> zones de protection contr</w:t>
      </w:r>
      <w:r w:rsidR="00DE2551">
        <w:rPr>
          <w:rFonts w:cs="Arial"/>
          <w:color w:val="000000" w:themeColor="text1"/>
          <w:lang w:val="fr-CH"/>
        </w:rPr>
        <w:t>e la foudre doivent être équipé</w:t>
      </w:r>
      <w:r w:rsidR="008645C2">
        <w:rPr>
          <w:rFonts w:cs="Arial"/>
          <w:color w:val="000000" w:themeColor="text1"/>
          <w:lang w:val="fr-CH"/>
        </w:rPr>
        <w:t xml:space="preserve">s d'éléments de protection contre la </w:t>
      </w:r>
      <w:proofErr w:type="gramStart"/>
      <w:r w:rsidR="008645C2">
        <w:rPr>
          <w:rFonts w:cs="Arial"/>
          <w:color w:val="000000" w:themeColor="text1"/>
          <w:lang w:val="fr-CH"/>
        </w:rPr>
        <w:t>surtension;</w:t>
      </w:r>
      <w:proofErr w:type="gramEnd"/>
      <w:r w:rsidR="008645C2">
        <w:rPr>
          <w:rFonts w:cs="Arial"/>
          <w:color w:val="000000" w:themeColor="text1"/>
          <w:lang w:val="fr-CH"/>
        </w:rPr>
        <w:t xml:space="preserve"> ces éléments ne sont pas couplés </w:t>
      </w:r>
      <w:r w:rsidR="008645C2" w:rsidRPr="00DE2551">
        <w:rPr>
          <w:rFonts w:cs="Arial"/>
          <w:b/>
          <w:color w:val="000000" w:themeColor="text1"/>
          <w:u w:val="single"/>
          <w:lang w:val="fr-CH"/>
        </w:rPr>
        <w:t>au système de gestion des installations du bâtiment</w:t>
      </w:r>
      <w:r w:rsidR="00276632">
        <w:rPr>
          <w:rFonts w:cs="Arial"/>
          <w:color w:val="000000" w:themeColor="text1"/>
          <w:lang w:val="fr-CH"/>
        </w:rPr>
        <w:t>.</w:t>
      </w:r>
    </w:p>
    <w:p w:rsidR="008256BE" w:rsidRDefault="00316027" w:rsidP="00316027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316027">
        <w:rPr>
          <w:rFonts w:cs="Arial"/>
          <w:color w:val="000000" w:themeColor="text1"/>
          <w:lang w:val="fr-CH"/>
        </w:rPr>
        <w:t xml:space="preserve">Concept de </w:t>
      </w:r>
      <w:proofErr w:type="gramStart"/>
      <w:r w:rsidRPr="00316027">
        <w:rPr>
          <w:rFonts w:cs="Arial"/>
          <w:color w:val="000000" w:themeColor="text1"/>
          <w:lang w:val="fr-CH"/>
        </w:rPr>
        <w:t>mesure:</w:t>
      </w:r>
      <w:proofErr w:type="gramEnd"/>
      <w:r w:rsidRPr="00316027">
        <w:rPr>
          <w:rFonts w:cs="Arial"/>
          <w:color w:val="000000" w:themeColor="text1"/>
          <w:lang w:val="fr-CH"/>
        </w:rPr>
        <w:t xml:space="preserve"> mesures privées selon le concept de mesure de l'OFCL, en particulier </w:t>
      </w:r>
      <w:r>
        <w:rPr>
          <w:rFonts w:cs="Arial"/>
          <w:color w:val="000000" w:themeColor="text1"/>
          <w:lang w:val="fr-CH"/>
        </w:rPr>
        <w:br/>
      </w:r>
      <w:r w:rsidRPr="00316027">
        <w:rPr>
          <w:rFonts w:cs="Arial"/>
          <w:color w:val="000000" w:themeColor="text1"/>
          <w:lang w:val="fr-CH"/>
        </w:rPr>
        <w:t xml:space="preserve">- mesure privée de la production par bâtiment et contrat d'entreprise </w:t>
      </w:r>
      <w:r>
        <w:rPr>
          <w:rFonts w:cs="Arial"/>
          <w:color w:val="000000" w:themeColor="text1"/>
          <w:lang w:val="fr-CH"/>
        </w:rPr>
        <w:br/>
      </w:r>
      <w:r w:rsidRPr="00316027">
        <w:rPr>
          <w:rFonts w:cs="Arial"/>
          <w:color w:val="000000" w:themeColor="text1"/>
          <w:lang w:val="fr-CH"/>
        </w:rPr>
        <w:t xml:space="preserve">- mesure privée principale par bâtiment et contrat d'entreprise </w:t>
      </w:r>
      <w:r>
        <w:rPr>
          <w:rFonts w:cs="Arial"/>
          <w:color w:val="000000" w:themeColor="text1"/>
          <w:lang w:val="fr-CH"/>
        </w:rPr>
        <w:br/>
      </w:r>
      <w:r w:rsidRPr="00316027">
        <w:rPr>
          <w:rFonts w:cs="Arial"/>
          <w:color w:val="000000" w:themeColor="text1"/>
          <w:lang w:val="fr-CH"/>
        </w:rPr>
        <w:t xml:space="preserve">- mesure dans les installations critiques y c. enregistrement de la qualité du réseau </w:t>
      </w:r>
      <w:r>
        <w:rPr>
          <w:rFonts w:cs="Arial"/>
          <w:color w:val="000000" w:themeColor="text1"/>
          <w:lang w:val="fr-CH"/>
        </w:rPr>
        <w:br/>
      </w:r>
      <w:r w:rsidRPr="00316027">
        <w:rPr>
          <w:rFonts w:cs="Arial"/>
          <w:color w:val="000000" w:themeColor="text1"/>
          <w:lang w:val="fr-CH"/>
        </w:rPr>
        <w:t xml:space="preserve">- intégration des mesures dans le système de mesure existant </w:t>
      </w:r>
      <w:r>
        <w:rPr>
          <w:rFonts w:cs="Arial"/>
          <w:color w:val="000000" w:themeColor="text1"/>
          <w:lang w:val="fr-CH"/>
        </w:rPr>
        <w:br/>
      </w:r>
      <w:r w:rsidRPr="006B7034">
        <w:rPr>
          <w:rFonts w:cs="Arial"/>
          <w:color w:val="000000" w:themeColor="text1"/>
          <w:lang w:val="fr-CH"/>
        </w:rPr>
        <w:t xml:space="preserve">- </w:t>
      </w:r>
      <w:r w:rsidR="006B7034">
        <w:rPr>
          <w:rFonts w:cs="Arial"/>
          <w:color w:val="000000" w:themeColor="text1"/>
          <w:lang w:val="fr-CH"/>
        </w:rPr>
        <w:t>prescriptions en matière de fabrication</w:t>
      </w:r>
      <w:r w:rsidRPr="006B7034">
        <w:rPr>
          <w:rFonts w:cs="Arial"/>
          <w:color w:val="000000" w:themeColor="text1"/>
          <w:lang w:val="fr-CH"/>
        </w:rPr>
        <w:t xml:space="preserve"> </w:t>
      </w:r>
      <w:r w:rsidR="006B7034">
        <w:rPr>
          <w:rFonts w:cs="Arial"/>
          <w:color w:val="000000" w:themeColor="text1"/>
          <w:lang w:val="fr-CH"/>
        </w:rPr>
        <w:t>selon</w:t>
      </w:r>
      <w:r w:rsidRPr="006B7034">
        <w:rPr>
          <w:rFonts w:cs="Arial"/>
          <w:color w:val="000000" w:themeColor="text1"/>
          <w:lang w:val="fr-CH"/>
        </w:rPr>
        <w:t xml:space="preserve"> </w:t>
      </w:r>
      <w:r w:rsidR="006B7034">
        <w:rPr>
          <w:rFonts w:cs="Arial"/>
          <w:color w:val="000000" w:themeColor="text1"/>
          <w:lang w:val="fr-CH"/>
        </w:rPr>
        <w:t>l'OFCL-OM</w:t>
      </w:r>
      <w:r w:rsidRPr="006B7034">
        <w:rPr>
          <w:rFonts w:cs="Arial"/>
          <w:color w:val="000000" w:themeColor="text1"/>
          <w:lang w:val="fr-CH"/>
        </w:rPr>
        <w:t xml:space="preserve"> </w:t>
      </w:r>
      <w:r w:rsidR="006B7034">
        <w:rPr>
          <w:rFonts w:cs="Arial"/>
          <w:color w:val="000000" w:themeColor="text1"/>
          <w:lang w:val="fr-CH"/>
        </w:rPr>
        <w:t>ou</w:t>
      </w:r>
      <w:r w:rsidRPr="006B7034">
        <w:rPr>
          <w:rFonts w:cs="Arial"/>
          <w:color w:val="000000" w:themeColor="text1"/>
          <w:lang w:val="fr-CH"/>
        </w:rPr>
        <w:t xml:space="preserve"> </w:t>
      </w:r>
      <w:r w:rsidR="006B7034">
        <w:rPr>
          <w:rFonts w:cs="Arial"/>
          <w:color w:val="000000" w:themeColor="text1"/>
          <w:lang w:val="fr-CH"/>
        </w:rPr>
        <w:t>l'OFCL-FB</w:t>
      </w:r>
    </w:p>
    <w:p w:rsidR="008256BE" w:rsidRPr="00276632" w:rsidRDefault="00316027" w:rsidP="009612BF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 w:rsidRPr="00316027">
        <w:rPr>
          <w:rFonts w:cs="Arial"/>
          <w:color w:val="000000" w:themeColor="text1"/>
          <w:lang w:val="fr-CH"/>
        </w:rPr>
        <w:t>Les mesures d'usine s'effectuent selon les prescriptions d'entreprise ainsi que les conditions du gestionnaire du réseau de distribution.</w:t>
      </w:r>
      <w:r w:rsidR="009C23CD" w:rsidRPr="00316027">
        <w:rPr>
          <w:rFonts w:cs="Arial"/>
          <w:color w:val="000000" w:themeColor="text1"/>
          <w:lang w:val="fr-CH"/>
        </w:rPr>
        <w:t xml:space="preserve"> </w:t>
      </w:r>
      <w:r>
        <w:rPr>
          <w:rFonts w:cs="Arial"/>
          <w:color w:val="000000" w:themeColor="text1"/>
          <w:lang w:val="fr-CH"/>
        </w:rPr>
        <w:t>Le but est d'appliquer le principe de la mesure de l'excédent.</w:t>
      </w:r>
      <w:r w:rsidR="009C23CD" w:rsidRPr="00316027">
        <w:rPr>
          <w:rFonts w:cs="Arial"/>
          <w:color w:val="000000" w:themeColor="text1"/>
          <w:lang w:val="fr-CH"/>
        </w:rPr>
        <w:t xml:space="preserve"> </w:t>
      </w:r>
      <w:r w:rsidR="009612BF">
        <w:rPr>
          <w:rFonts w:cs="Arial"/>
          <w:color w:val="000000" w:themeColor="text1"/>
          <w:lang w:val="fr-CH"/>
        </w:rPr>
        <w:t>La mesure de la courbe de charge doit être mise en place à partir de 30 kVA conformément à l'OAOr (RS 730.010.1).</w:t>
      </w:r>
      <w:r w:rsidR="009C23CD" w:rsidRPr="009612BF">
        <w:rPr>
          <w:rFonts w:cs="Arial"/>
          <w:color w:val="000000" w:themeColor="text1"/>
          <w:lang w:val="fr-CH"/>
        </w:rPr>
        <w:t xml:space="preserve"> </w:t>
      </w:r>
      <w:r w:rsidR="009612BF">
        <w:rPr>
          <w:rFonts w:cs="Arial"/>
          <w:color w:val="000000" w:themeColor="text1"/>
          <w:lang w:val="fr-CH"/>
        </w:rPr>
        <w:t xml:space="preserve">Le but est d'obtenir </w:t>
      </w:r>
      <w:r w:rsidR="006B7034">
        <w:rPr>
          <w:rFonts w:cs="Arial"/>
          <w:color w:val="000000" w:themeColor="text1"/>
          <w:lang w:val="fr-CH"/>
        </w:rPr>
        <w:t xml:space="preserve">une seule mesure </w:t>
      </w:r>
      <w:r w:rsidR="00AD02A1">
        <w:rPr>
          <w:rFonts w:cs="Arial"/>
          <w:color w:val="000000" w:themeColor="text1"/>
          <w:lang w:val="fr-CH"/>
        </w:rPr>
        <w:t>par bâtiment pour l'attestation d'origine</w:t>
      </w:r>
      <w:r w:rsidR="00276632">
        <w:rPr>
          <w:rFonts w:cs="Arial"/>
          <w:color w:val="000000" w:themeColor="text1"/>
          <w:lang w:val="fr-CH"/>
        </w:rPr>
        <w:t>.</w:t>
      </w:r>
    </w:p>
    <w:p w:rsidR="006152EE" w:rsidRDefault="006152EE">
      <w:pPr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br w:type="page"/>
      </w:r>
    </w:p>
    <w:p w:rsidR="008256BE" w:rsidRDefault="00AD02A1" w:rsidP="009C23CD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r>
        <w:rPr>
          <w:rFonts w:cs="Arial"/>
          <w:color w:val="000000" w:themeColor="text1"/>
          <w:lang w:val="fr-CH"/>
        </w:rPr>
        <w:lastRenderedPageBreak/>
        <w:t>Pour</w:t>
      </w:r>
      <w:r w:rsidR="00AA0CAB" w:rsidRPr="00AA0CAB">
        <w:rPr>
          <w:rFonts w:cs="Arial"/>
          <w:color w:val="000000" w:themeColor="text1"/>
          <w:lang w:val="fr-CH"/>
        </w:rPr>
        <w:t xml:space="preserve"> les plans de l'</w:t>
      </w:r>
      <w:r>
        <w:rPr>
          <w:rFonts w:cs="Arial"/>
          <w:color w:val="000000" w:themeColor="text1"/>
          <w:lang w:val="fr-CH"/>
        </w:rPr>
        <w:t>IFSN</w:t>
      </w:r>
      <w:r w:rsidR="00AA0CAB" w:rsidRPr="00AA0CAB">
        <w:rPr>
          <w:rFonts w:cs="Arial"/>
          <w:color w:val="000000" w:themeColor="text1"/>
          <w:lang w:val="fr-CH"/>
        </w:rPr>
        <w:t xml:space="preserve">, le contrôle de sécurité et l'attestation d'origine, il convient d'indiquer l'adresse de </w:t>
      </w:r>
      <w:proofErr w:type="gramStart"/>
      <w:r w:rsidR="00AA0CAB" w:rsidRPr="00AA0CAB">
        <w:rPr>
          <w:rFonts w:cs="Arial"/>
          <w:color w:val="000000" w:themeColor="text1"/>
          <w:lang w:val="fr-CH"/>
        </w:rPr>
        <w:t>contact suivante:</w:t>
      </w:r>
      <w:proofErr w:type="gramEnd"/>
      <w:r w:rsidR="009C23CD" w:rsidRPr="00AA0CAB">
        <w:rPr>
          <w:rFonts w:cs="Arial"/>
          <w:i/>
          <w:lang w:val="fr-CH"/>
        </w:rPr>
        <w:br/>
      </w:r>
      <w:r w:rsidR="00AA0CAB">
        <w:rPr>
          <w:rFonts w:cs="Arial"/>
          <w:i/>
          <w:color w:val="000000" w:themeColor="text1"/>
          <w:lang w:val="fr-CH"/>
        </w:rPr>
        <w:t>Confédération suisse</w:t>
      </w:r>
      <w:r w:rsidR="009C23CD" w:rsidRPr="00AA0CAB">
        <w:rPr>
          <w:rFonts w:cs="Arial"/>
          <w:i/>
          <w:color w:val="000000" w:themeColor="text1"/>
          <w:lang w:val="fr-CH"/>
        </w:rPr>
        <w:t xml:space="preserve">, </w:t>
      </w:r>
      <w:r w:rsidR="00AA0CAB">
        <w:rPr>
          <w:rFonts w:cs="Arial"/>
          <w:i/>
          <w:color w:val="000000" w:themeColor="text1"/>
          <w:lang w:val="fr-CH"/>
        </w:rPr>
        <w:t>représentée par le</w:t>
      </w:r>
      <w:r w:rsidR="009C23CD" w:rsidRPr="00AA0CAB">
        <w:rPr>
          <w:rFonts w:cs="Arial"/>
          <w:i/>
          <w:color w:val="000000" w:themeColor="text1"/>
          <w:lang w:val="fr-CH"/>
        </w:rPr>
        <w:br/>
      </w:r>
      <w:r w:rsidR="00AA0CAB">
        <w:rPr>
          <w:rFonts w:cs="Arial"/>
          <w:i/>
          <w:color w:val="000000" w:themeColor="text1"/>
          <w:lang w:val="fr-CH"/>
        </w:rPr>
        <w:t>Département fédéral des finances</w:t>
      </w:r>
      <w:r w:rsidR="009C23CD" w:rsidRPr="00AA0CAB">
        <w:rPr>
          <w:rFonts w:cs="Arial"/>
          <w:i/>
          <w:color w:val="000000" w:themeColor="text1"/>
          <w:lang w:val="fr-CH"/>
        </w:rPr>
        <w:t xml:space="preserve"> </w:t>
      </w:r>
      <w:r w:rsidR="00AA0CAB">
        <w:rPr>
          <w:rFonts w:cs="Arial"/>
          <w:i/>
          <w:color w:val="000000" w:themeColor="text1"/>
          <w:lang w:val="fr-CH"/>
        </w:rPr>
        <w:t>(DFF)</w:t>
      </w:r>
      <w:r w:rsidR="009C23CD" w:rsidRPr="00AA0CAB">
        <w:rPr>
          <w:rFonts w:cs="Arial"/>
          <w:i/>
          <w:color w:val="000000" w:themeColor="text1"/>
          <w:lang w:val="fr-CH"/>
        </w:rPr>
        <w:br/>
      </w:r>
      <w:r w:rsidR="00AA0CAB">
        <w:rPr>
          <w:rFonts w:cs="Arial"/>
          <w:i/>
          <w:color w:val="000000" w:themeColor="text1"/>
          <w:lang w:val="fr-CH"/>
        </w:rPr>
        <w:t>Office fédéral des constructions et de logistique</w:t>
      </w:r>
      <w:r w:rsidR="009C23CD" w:rsidRPr="00AA0CAB">
        <w:rPr>
          <w:rFonts w:cs="Arial"/>
          <w:i/>
          <w:color w:val="000000" w:themeColor="text1"/>
          <w:lang w:val="fr-CH"/>
        </w:rPr>
        <w:t xml:space="preserve"> </w:t>
      </w:r>
      <w:r w:rsidR="00AA0CAB">
        <w:rPr>
          <w:rFonts w:cs="Arial"/>
          <w:i/>
          <w:color w:val="000000" w:themeColor="text1"/>
          <w:lang w:val="fr-CH"/>
        </w:rPr>
        <w:t>(OFCL)</w:t>
      </w:r>
      <w:r w:rsidR="009C23CD" w:rsidRPr="00AA0CAB">
        <w:rPr>
          <w:rFonts w:cs="Arial"/>
          <w:i/>
          <w:color w:val="000000" w:themeColor="text1"/>
          <w:lang w:val="fr-CH"/>
        </w:rPr>
        <w:t xml:space="preserve"> </w:t>
      </w:r>
      <w:r w:rsidR="009C23CD" w:rsidRPr="00AA0CAB">
        <w:rPr>
          <w:rFonts w:cs="Arial"/>
          <w:i/>
          <w:color w:val="000000" w:themeColor="text1"/>
          <w:lang w:val="fr-CH"/>
        </w:rPr>
        <w:br/>
      </w:r>
      <w:r w:rsidR="00AA0CAB">
        <w:rPr>
          <w:rFonts w:cs="Arial"/>
          <w:i/>
          <w:color w:val="000000" w:themeColor="text1"/>
          <w:lang w:val="fr-CH"/>
        </w:rPr>
        <w:t>Gestion des ouvrages et des bâtiments</w:t>
      </w:r>
      <w:r w:rsidR="007815E9" w:rsidRPr="00AA0CAB">
        <w:rPr>
          <w:rFonts w:cs="Arial"/>
          <w:i/>
          <w:color w:val="000000" w:themeColor="text1"/>
          <w:lang w:val="fr-CH"/>
        </w:rPr>
        <w:br/>
      </w:r>
      <w:r w:rsidR="009C23CD" w:rsidRPr="00AA0CAB">
        <w:rPr>
          <w:rFonts w:cs="Arial"/>
          <w:i/>
          <w:color w:val="000000" w:themeColor="text1"/>
          <w:lang w:val="fr-CH"/>
        </w:rPr>
        <w:t>Fellerstrasse 21</w:t>
      </w:r>
      <w:r w:rsidR="009C23CD" w:rsidRPr="00AA0CAB">
        <w:rPr>
          <w:rFonts w:cs="Arial"/>
          <w:i/>
          <w:color w:val="000000" w:themeColor="text1"/>
          <w:lang w:val="fr-CH"/>
        </w:rPr>
        <w:br/>
        <w:t>3003 Bern</w:t>
      </w:r>
      <w:r w:rsidR="00AA0CAB">
        <w:rPr>
          <w:rFonts w:cs="Arial"/>
          <w:i/>
          <w:color w:val="000000" w:themeColor="text1"/>
          <w:lang w:val="fr-CH"/>
        </w:rPr>
        <w:t>e</w:t>
      </w:r>
    </w:p>
    <w:p w:rsidR="008256BE" w:rsidRDefault="00AA0CAB" w:rsidP="00197A01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lang w:val="fr-CH"/>
        </w:rPr>
      </w:pPr>
      <w:r w:rsidRPr="00AA0CAB">
        <w:rPr>
          <w:rFonts w:cs="Arial"/>
          <w:lang w:val="fr-CH"/>
        </w:rPr>
        <w:t xml:space="preserve">Extension et mise en </w:t>
      </w:r>
      <w:r>
        <w:rPr>
          <w:rFonts w:cs="Arial"/>
          <w:lang w:val="fr-CH"/>
        </w:rPr>
        <w:t>œuvre</w:t>
      </w:r>
      <w:r w:rsidRPr="00AA0CAB">
        <w:rPr>
          <w:rFonts w:cs="Arial"/>
          <w:lang w:val="fr-CH"/>
        </w:rPr>
        <w:t xml:space="preserve"> selon le concept </w:t>
      </w:r>
      <w:r w:rsidR="00197A01">
        <w:rPr>
          <w:rFonts w:cs="Arial"/>
          <w:lang w:val="fr-CH"/>
        </w:rPr>
        <w:t>d'identification</w:t>
      </w:r>
      <w:r w:rsidRPr="00AA0CAB">
        <w:rPr>
          <w:rFonts w:cs="Arial"/>
          <w:lang w:val="fr-CH"/>
        </w:rPr>
        <w:t xml:space="preserve"> de l'OFCL.</w:t>
      </w:r>
      <w:r w:rsidR="009C23CD" w:rsidRPr="00AA0CAB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Les armoires de distribution et les ondul</w:t>
      </w:r>
      <w:r w:rsidR="00197A01">
        <w:rPr>
          <w:rFonts w:cs="Arial"/>
          <w:lang w:val="fr-CH"/>
        </w:rPr>
        <w:t>eurs sont identifiés et munis d'une inscription.</w:t>
      </w:r>
      <w:r w:rsidR="009C23CD" w:rsidRPr="00AA0CAB">
        <w:rPr>
          <w:rFonts w:cs="Arial"/>
          <w:lang w:val="fr-CH"/>
        </w:rPr>
        <w:t xml:space="preserve"> </w:t>
      </w:r>
      <w:r w:rsidR="00197A01">
        <w:rPr>
          <w:rFonts w:cs="Arial"/>
          <w:lang w:val="fr-CH"/>
        </w:rPr>
        <w:t>Les modules photovoltaïques sont identifiés de manière complète et munis d'une inscription aux points</w:t>
      </w:r>
      <w:r w:rsidR="00276632">
        <w:rPr>
          <w:rFonts w:cs="Arial"/>
          <w:lang w:val="fr-CH"/>
        </w:rPr>
        <w:t>.</w:t>
      </w:r>
      <w:r w:rsidR="00197A01">
        <w:rPr>
          <w:rFonts w:cs="Arial"/>
          <w:lang w:val="fr-CH"/>
        </w:rPr>
        <w:t xml:space="preserve"> de raccordement.</w:t>
      </w:r>
      <w:r w:rsidR="009C23CD" w:rsidRPr="00197A01">
        <w:rPr>
          <w:rFonts w:cs="Arial"/>
          <w:lang w:val="fr-CH"/>
        </w:rPr>
        <w:br/>
      </w:r>
      <w:r w:rsidR="00197A01" w:rsidRPr="00197A01">
        <w:rPr>
          <w:rFonts w:cs="Arial"/>
          <w:lang w:val="fr-CH"/>
        </w:rPr>
        <w:t xml:space="preserve">Tous les modules doivent être </w:t>
      </w:r>
      <w:r w:rsidR="00197A01" w:rsidRPr="00AD02A1">
        <w:rPr>
          <w:rFonts w:cs="Arial"/>
          <w:lang w:val="fr-CH"/>
        </w:rPr>
        <w:t xml:space="preserve">identifiés sur </w:t>
      </w:r>
      <w:r w:rsidR="00AD02A1" w:rsidRPr="00AD02A1">
        <w:rPr>
          <w:rFonts w:cs="Arial"/>
          <w:lang w:val="fr-CH"/>
        </w:rPr>
        <w:t>le plan</w:t>
      </w:r>
      <w:r w:rsidR="00197A01" w:rsidRPr="00AD02A1">
        <w:rPr>
          <w:rFonts w:cs="Arial"/>
          <w:lang w:val="fr-CH"/>
        </w:rPr>
        <w:t xml:space="preserve"> des modules.</w:t>
      </w:r>
    </w:p>
    <w:p w:rsidR="008256BE" w:rsidRDefault="00003ABF" w:rsidP="00003ABF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lang w:val="fr-CH"/>
        </w:rPr>
      </w:pPr>
      <w:r w:rsidRPr="00003ABF">
        <w:rPr>
          <w:rFonts w:cs="Arial"/>
          <w:lang w:val="fr-CH"/>
        </w:rPr>
        <w:t>L'activation de l'alimentation en énergie dans l'ensemble du bâtiment ne s'effectue que sur notification préalable adressée en temps utile.</w:t>
      </w:r>
      <w:r w:rsidR="009C23CD" w:rsidRPr="00003ABF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Le délai de notification </w:t>
      </w:r>
      <w:r w:rsidR="00AD02A1">
        <w:rPr>
          <w:rFonts w:cs="Arial"/>
          <w:lang w:val="fr-CH"/>
        </w:rPr>
        <w:t>doit</w:t>
      </w:r>
      <w:r w:rsidR="00276632">
        <w:rPr>
          <w:rFonts w:cs="Arial"/>
          <w:lang w:val="fr-CH"/>
        </w:rPr>
        <w:t xml:space="preserve"> être d'environ 4 semaines.</w:t>
      </w:r>
    </w:p>
    <w:p w:rsidR="008256BE" w:rsidRPr="00AD02A1" w:rsidRDefault="007007A7" w:rsidP="00C16295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7007A7">
        <w:rPr>
          <w:rFonts w:cs="Arial"/>
          <w:lang w:val="fr-CH"/>
        </w:rPr>
        <w:t>Une activation ne peut être effectuée sans l'autorisation de l'OFCL-OM et de l'utilisateur du bâtiment.</w:t>
      </w:r>
      <w:r w:rsidR="009C23CD" w:rsidRPr="007007A7">
        <w:rPr>
          <w:rFonts w:cs="Arial"/>
          <w:lang w:val="fr-CH"/>
        </w:rPr>
        <w:t xml:space="preserve"> </w:t>
      </w:r>
      <w:r w:rsidR="00C16295">
        <w:rPr>
          <w:rFonts w:cs="Arial"/>
          <w:lang w:val="fr-CH"/>
        </w:rPr>
        <w:t xml:space="preserve">Indépendamment de la durée de l'activation, l'autorisation </w:t>
      </w:r>
      <w:r w:rsidR="00AD02A1">
        <w:rPr>
          <w:rFonts w:cs="Arial"/>
          <w:lang w:val="fr-CH"/>
        </w:rPr>
        <w:t xml:space="preserve">doit être obtenue </w:t>
      </w:r>
      <w:r w:rsidR="00AD02A1" w:rsidRPr="00AD02A1">
        <w:rPr>
          <w:rFonts w:cs="Arial"/>
          <w:lang w:val="fr-CH"/>
        </w:rPr>
        <w:t xml:space="preserve">en matière de sécurité </w:t>
      </w:r>
      <w:r w:rsidR="00C16295" w:rsidRPr="00AD02A1">
        <w:rPr>
          <w:rFonts w:cs="Arial"/>
          <w:lang w:val="fr-CH"/>
        </w:rPr>
        <w:t>des services externes compétents, d'alerte, de télé</w:t>
      </w:r>
      <w:r w:rsidR="00276632" w:rsidRPr="00AD02A1">
        <w:rPr>
          <w:rFonts w:cs="Arial"/>
          <w:lang w:val="fr-CH"/>
        </w:rPr>
        <w:t>communication et d'informatique.</w:t>
      </w:r>
      <w:r w:rsidR="00C16295" w:rsidRPr="00AD02A1">
        <w:rPr>
          <w:rFonts w:cs="Arial"/>
          <w:lang w:val="fr-CH"/>
        </w:rPr>
        <w:t xml:space="preserve"> </w:t>
      </w:r>
    </w:p>
    <w:p w:rsidR="008256BE" w:rsidRDefault="00C16295" w:rsidP="00C16295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AD02A1">
        <w:rPr>
          <w:rFonts w:cs="Arial"/>
          <w:color w:val="000000" w:themeColor="text1"/>
          <w:lang w:val="fr-CH"/>
        </w:rPr>
        <w:t xml:space="preserve">Visualisation de la production d'électricité selon les prescriptions de la direction de </w:t>
      </w:r>
      <w:proofErr w:type="gramStart"/>
      <w:r w:rsidRPr="00AD02A1">
        <w:rPr>
          <w:rFonts w:cs="Arial"/>
          <w:color w:val="000000" w:themeColor="text1"/>
          <w:lang w:val="fr-CH"/>
        </w:rPr>
        <w:t>projet;</w:t>
      </w:r>
      <w:proofErr w:type="gramEnd"/>
      <w:r w:rsidRPr="00AD02A1">
        <w:rPr>
          <w:rFonts w:cs="Arial"/>
          <w:color w:val="000000" w:themeColor="text1"/>
          <w:lang w:val="fr-CH"/>
        </w:rPr>
        <w:t xml:space="preserve"> les coûts d'exploitation de la solution technique sont déterminants.</w:t>
      </w:r>
      <w:r w:rsidR="009C23CD" w:rsidRPr="00AD02A1">
        <w:rPr>
          <w:rFonts w:cs="Arial"/>
          <w:color w:val="000000" w:themeColor="text1"/>
          <w:lang w:val="fr-CH"/>
        </w:rPr>
        <w:t xml:space="preserve"> </w:t>
      </w:r>
      <w:r w:rsidRPr="00AD02A1">
        <w:rPr>
          <w:rFonts w:cs="Arial"/>
          <w:color w:val="000000" w:themeColor="text1"/>
          <w:lang w:val="fr-CH"/>
        </w:rPr>
        <w:t>En règle générale, la visualisation</w:t>
      </w:r>
      <w:r>
        <w:rPr>
          <w:rFonts w:cs="Arial"/>
          <w:color w:val="000000" w:themeColor="text1"/>
          <w:lang w:val="fr-CH"/>
        </w:rPr>
        <w:t xml:space="preserve"> peut être </w:t>
      </w:r>
      <w:r w:rsidR="00AD02A1">
        <w:rPr>
          <w:rFonts w:cs="Arial"/>
          <w:color w:val="000000" w:themeColor="text1"/>
          <w:lang w:val="fr-CH"/>
        </w:rPr>
        <w:t>placée</w:t>
      </w:r>
      <w:r>
        <w:rPr>
          <w:rFonts w:cs="Arial"/>
          <w:color w:val="000000" w:themeColor="text1"/>
          <w:lang w:val="fr-CH"/>
        </w:rPr>
        <w:t xml:space="preserve"> à l'entrée principale du bâtiment.</w:t>
      </w:r>
      <w:r w:rsidR="009C23CD" w:rsidRPr="00C16295">
        <w:rPr>
          <w:rFonts w:cs="Arial"/>
          <w:color w:val="000000" w:themeColor="text1"/>
          <w:lang w:val="fr-CH"/>
        </w:rPr>
        <w:t xml:space="preserve"> </w:t>
      </w:r>
      <w:r>
        <w:rPr>
          <w:rFonts w:cs="Arial"/>
          <w:color w:val="000000" w:themeColor="text1"/>
          <w:lang w:val="fr-CH"/>
        </w:rPr>
        <w:t>Doivent être indiquées les données liées à l'installation, la production actuelle d'électricité, le degré de couverture énergétique actuelle et les valeurs moyennes annuelles.</w:t>
      </w:r>
    </w:p>
    <w:p w:rsidR="008256BE" w:rsidRDefault="0037700C" w:rsidP="00AB0762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37700C">
        <w:rPr>
          <w:rFonts w:cs="Arial"/>
          <w:color w:val="000000" w:themeColor="text1"/>
          <w:lang w:val="fr-CH"/>
        </w:rPr>
        <w:t xml:space="preserve">En ce qui concerne la durabilité, </w:t>
      </w:r>
      <w:r w:rsidR="00AD02A1">
        <w:rPr>
          <w:rFonts w:cs="Arial"/>
          <w:color w:val="000000" w:themeColor="text1"/>
          <w:lang w:val="fr-CH"/>
        </w:rPr>
        <w:t xml:space="preserve">il est préférable de prévoir </w:t>
      </w:r>
      <w:r w:rsidRPr="0037700C">
        <w:rPr>
          <w:rFonts w:cs="Arial"/>
          <w:color w:val="000000" w:themeColor="text1"/>
          <w:lang w:val="fr-CH"/>
        </w:rPr>
        <w:t>une séparation du système.</w:t>
      </w:r>
      <w:r w:rsidR="009C23CD" w:rsidRPr="0037700C">
        <w:rPr>
          <w:rFonts w:cs="Arial"/>
          <w:color w:val="000000" w:themeColor="text1"/>
          <w:lang w:val="fr-CH"/>
        </w:rPr>
        <w:t xml:space="preserve"> </w:t>
      </w:r>
      <w:r w:rsidR="00AB0762">
        <w:rPr>
          <w:rFonts w:cs="Arial"/>
          <w:color w:val="000000" w:themeColor="text1"/>
          <w:lang w:val="fr-CH"/>
        </w:rPr>
        <w:t>Pour les solutions intégrées au toit ou à la façade, il convient de procéder à une évaluation des risques sous l'angle des défaillances prématurées et des coûts de réparation.</w:t>
      </w:r>
    </w:p>
    <w:p w:rsidR="008256BE" w:rsidRDefault="00AB0762" w:rsidP="00AB0762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AB0762">
        <w:rPr>
          <w:rFonts w:cs="Arial"/>
          <w:color w:val="000000" w:themeColor="text1"/>
          <w:lang w:val="fr-CH"/>
        </w:rPr>
        <w:t>Sur les toits, il convient de prévoir un dispositif de sécurité antichute conforme aux prescriptions de la SUVA.</w:t>
      </w:r>
    </w:p>
    <w:p w:rsidR="008256BE" w:rsidRDefault="00AB0762" w:rsidP="00AB0762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AB0762">
        <w:rPr>
          <w:rFonts w:cs="Arial"/>
          <w:color w:val="000000" w:themeColor="text1"/>
          <w:lang w:val="fr-CH"/>
        </w:rPr>
        <w:t xml:space="preserve">Un accès au toit permanent, utilisable et conforme aux prescriptions de la SUVA doit être prévu. </w:t>
      </w:r>
    </w:p>
    <w:p w:rsidR="008256BE" w:rsidRDefault="00AB0762" w:rsidP="004E5D45">
      <w:pPr>
        <w:pStyle w:val="Listenabsatz"/>
        <w:numPr>
          <w:ilvl w:val="0"/>
          <w:numId w:val="16"/>
        </w:numPr>
        <w:spacing w:line="276" w:lineRule="auto"/>
        <w:ind w:left="357" w:hanging="357"/>
        <w:rPr>
          <w:rFonts w:cs="Arial"/>
          <w:color w:val="000000" w:themeColor="text1"/>
          <w:lang w:val="fr-CH"/>
        </w:rPr>
      </w:pPr>
      <w:proofErr w:type="gramStart"/>
      <w:r w:rsidRPr="00AB0762">
        <w:rPr>
          <w:rFonts w:cs="Arial"/>
          <w:color w:val="000000" w:themeColor="text1"/>
          <w:lang w:val="fr-CH"/>
        </w:rPr>
        <w:t>Monitoring:</w:t>
      </w:r>
      <w:proofErr w:type="gramEnd"/>
      <w:r w:rsidRPr="00AB0762">
        <w:rPr>
          <w:rFonts w:cs="Arial"/>
          <w:color w:val="000000" w:themeColor="text1"/>
          <w:lang w:val="fr-CH"/>
        </w:rPr>
        <w:t xml:space="preserve"> l'activation s'effectue de façon uniforme sur la plateforme de surveillance www.solar-log.ch.</w:t>
      </w:r>
      <w:r w:rsidR="009C23CD" w:rsidRPr="00AB0762">
        <w:rPr>
          <w:rFonts w:cs="Arial"/>
          <w:color w:val="000000" w:themeColor="text1"/>
          <w:lang w:val="fr-CH"/>
        </w:rPr>
        <w:t xml:space="preserve"> </w:t>
      </w:r>
      <w:r w:rsidRPr="00AB0762">
        <w:rPr>
          <w:rFonts w:cs="Arial"/>
          <w:color w:val="000000" w:themeColor="text1"/>
          <w:lang w:val="fr-CH"/>
        </w:rPr>
        <w:t>Pour des questions de coûts et de sécurité, il convient de choisir une connexion GSM (exigence pour une transmission UMTS/GPRS).</w:t>
      </w:r>
      <w:r w:rsidR="009C23CD" w:rsidRPr="00AB0762">
        <w:rPr>
          <w:rFonts w:cs="Arial"/>
          <w:color w:val="000000" w:themeColor="text1"/>
          <w:lang w:val="fr-CH"/>
        </w:rPr>
        <w:br/>
      </w:r>
      <w:r w:rsidRPr="00AB0762">
        <w:rPr>
          <w:rFonts w:cs="Arial"/>
          <w:lang w:val="fr-CH"/>
        </w:rPr>
        <w:t xml:space="preserve">Un équipement de transmission GSM doit être </w:t>
      </w:r>
      <w:r w:rsidR="00AD02A1">
        <w:rPr>
          <w:rFonts w:cs="Arial"/>
          <w:lang w:val="fr-CH"/>
        </w:rPr>
        <w:t>installé</w:t>
      </w:r>
      <w:r w:rsidRPr="00AB0762">
        <w:rPr>
          <w:rFonts w:cs="Arial"/>
          <w:lang w:val="fr-CH"/>
        </w:rPr>
        <w:t xml:space="preserve"> </w:t>
      </w:r>
      <w:r w:rsidR="00AD02A1" w:rsidRPr="00AB0762">
        <w:rPr>
          <w:rFonts w:cs="Arial"/>
          <w:lang w:val="fr-CH"/>
        </w:rPr>
        <w:t>aux frais du maître de l'ouvrage</w:t>
      </w:r>
      <w:r w:rsidR="00AD02A1">
        <w:rPr>
          <w:rFonts w:cs="Arial"/>
          <w:lang w:val="fr-CH"/>
        </w:rPr>
        <w:t xml:space="preserve"> en plus de</w:t>
      </w:r>
      <w:r w:rsidRPr="00AB0762">
        <w:rPr>
          <w:rFonts w:cs="Arial"/>
          <w:lang w:val="fr-CH"/>
        </w:rPr>
        <w:t xml:space="preserve"> l'installation.</w:t>
      </w:r>
      <w:r w:rsidR="009C23CD" w:rsidRPr="00AB0762">
        <w:rPr>
          <w:rFonts w:cs="Arial"/>
          <w:lang w:val="fr-CH"/>
        </w:rPr>
        <w:t xml:space="preserve"> </w:t>
      </w:r>
      <w:r w:rsidR="00100357">
        <w:rPr>
          <w:rFonts w:cs="Arial"/>
          <w:lang w:val="fr-CH"/>
        </w:rPr>
        <w:t>La réception GSM doit être contrôlée au préalable.</w:t>
      </w:r>
      <w:r w:rsidR="009C23CD" w:rsidRPr="00100357">
        <w:rPr>
          <w:rFonts w:cs="Arial"/>
          <w:lang w:val="fr-CH"/>
        </w:rPr>
        <w:t xml:space="preserve"> </w:t>
      </w:r>
      <w:r w:rsidR="00100357" w:rsidRPr="00100357">
        <w:rPr>
          <w:rFonts w:cs="Arial"/>
          <w:lang w:val="fr-CH"/>
        </w:rPr>
        <w:t>L'OFCL-OM se procure la carte SIM à l'interne et la transmet à l'entrepreneur.</w:t>
      </w:r>
      <w:r w:rsidR="009C23CD" w:rsidRPr="00100357">
        <w:rPr>
          <w:rFonts w:cs="Arial"/>
          <w:color w:val="000000" w:themeColor="text1"/>
          <w:lang w:val="fr-CH"/>
        </w:rPr>
        <w:br/>
      </w:r>
      <w:r w:rsidR="009C23CD" w:rsidRPr="00100357">
        <w:rPr>
          <w:rFonts w:cs="Arial"/>
          <w:color w:val="000000" w:themeColor="text1"/>
          <w:lang w:val="fr-CH"/>
        </w:rPr>
        <w:br/>
      </w:r>
      <w:r w:rsidR="00075ED7">
        <w:rPr>
          <w:rFonts w:cs="Arial"/>
          <w:color w:val="000000" w:themeColor="text1"/>
          <w:lang w:val="fr-CH"/>
        </w:rPr>
        <w:t>Avant l'expiration du</w:t>
      </w:r>
      <w:r w:rsidR="00614FD3" w:rsidRPr="00614FD3">
        <w:rPr>
          <w:rFonts w:cs="Arial"/>
          <w:color w:val="000000" w:themeColor="text1"/>
          <w:lang w:val="fr-CH"/>
        </w:rPr>
        <w:t xml:space="preserve"> délai de </w:t>
      </w:r>
      <w:r w:rsidR="00075ED7">
        <w:rPr>
          <w:rFonts w:cs="Arial"/>
          <w:color w:val="000000" w:themeColor="text1"/>
          <w:lang w:val="fr-CH"/>
        </w:rPr>
        <w:t>dénonciation des défauts</w:t>
      </w:r>
      <w:r w:rsidR="00614FD3" w:rsidRPr="00614FD3">
        <w:rPr>
          <w:rFonts w:cs="Arial"/>
          <w:color w:val="000000" w:themeColor="text1"/>
          <w:lang w:val="fr-CH"/>
        </w:rPr>
        <w:t xml:space="preserve"> (jusqu'à l'éch</w:t>
      </w:r>
      <w:r w:rsidR="00614FD3">
        <w:rPr>
          <w:rFonts w:cs="Arial"/>
          <w:color w:val="000000" w:themeColor="text1"/>
          <w:lang w:val="fr-CH"/>
        </w:rPr>
        <w:t>é</w:t>
      </w:r>
      <w:r w:rsidR="00614FD3" w:rsidRPr="00614FD3">
        <w:rPr>
          <w:rFonts w:cs="Arial"/>
          <w:color w:val="000000" w:themeColor="text1"/>
          <w:lang w:val="fr-CH"/>
        </w:rPr>
        <w:t>ance de la garantie d'usine</w:t>
      </w:r>
      <w:proofErr w:type="gramStart"/>
      <w:r w:rsidR="00614FD3" w:rsidRPr="00614FD3">
        <w:rPr>
          <w:rFonts w:cs="Arial"/>
          <w:color w:val="000000" w:themeColor="text1"/>
          <w:lang w:val="fr-CH"/>
        </w:rPr>
        <w:t>):</w:t>
      </w:r>
      <w:proofErr w:type="gramEnd"/>
      <w:r w:rsidR="00614FD3" w:rsidRPr="00614FD3">
        <w:rPr>
          <w:rFonts w:cs="Arial"/>
          <w:color w:val="000000" w:themeColor="text1"/>
          <w:lang w:val="fr-CH"/>
        </w:rPr>
        <w:t xml:space="preserve"> </w:t>
      </w:r>
      <w:r w:rsidR="00614FD3">
        <w:rPr>
          <w:rFonts w:cs="Arial"/>
          <w:color w:val="000000" w:themeColor="text1"/>
          <w:lang w:val="fr-CH"/>
        </w:rPr>
        <w:br/>
        <w:t xml:space="preserve">- </w:t>
      </w:r>
      <w:r w:rsidR="00614FD3" w:rsidRPr="00614FD3">
        <w:rPr>
          <w:rFonts w:cs="Arial"/>
          <w:color w:val="000000" w:themeColor="text1"/>
          <w:lang w:val="fr-CH"/>
        </w:rPr>
        <w:t xml:space="preserve">l'entrepreneur met en service la carte SIM </w:t>
      </w:r>
      <w:r w:rsidR="00614FD3">
        <w:rPr>
          <w:rFonts w:cs="Arial"/>
          <w:color w:val="000000" w:themeColor="text1"/>
          <w:lang w:val="fr-CH"/>
        </w:rPr>
        <w:br/>
      </w:r>
      <w:r w:rsidR="00614FD3" w:rsidRPr="00614FD3">
        <w:rPr>
          <w:rFonts w:cs="Arial"/>
          <w:color w:val="000000" w:themeColor="text1"/>
          <w:lang w:val="fr-CH"/>
        </w:rPr>
        <w:t xml:space="preserve">- l'entrepreneur gère et surveille l'équipement de transmission GSM </w:t>
      </w:r>
      <w:r w:rsidR="00614FD3">
        <w:rPr>
          <w:rFonts w:cs="Arial"/>
          <w:color w:val="000000" w:themeColor="text1"/>
          <w:lang w:val="fr-CH"/>
        </w:rPr>
        <w:br/>
      </w:r>
      <w:r w:rsidR="00614FD3" w:rsidRPr="00614FD3">
        <w:rPr>
          <w:rFonts w:cs="Arial"/>
          <w:color w:val="000000" w:themeColor="text1"/>
          <w:lang w:val="fr-CH"/>
        </w:rPr>
        <w:lastRenderedPageBreak/>
        <w:t xml:space="preserve">- l'entrepreneur gère l'accès au portail de la plateforme de surveillance </w:t>
      </w:r>
      <w:r w:rsidR="00614FD3">
        <w:rPr>
          <w:rFonts w:cs="Arial"/>
          <w:color w:val="000000" w:themeColor="text1"/>
          <w:lang w:val="fr-CH"/>
        </w:rPr>
        <w:br/>
      </w:r>
      <w:r w:rsidR="00614FD3" w:rsidRPr="00614FD3">
        <w:rPr>
          <w:rFonts w:cs="Arial"/>
          <w:color w:val="000000" w:themeColor="text1"/>
          <w:lang w:val="fr-CH"/>
        </w:rPr>
        <w:t xml:space="preserve">- l'entrepreneur surveille l'installation photovoltaïque ainsi que la transmission des données </w:t>
      </w:r>
      <w:r w:rsidR="00614FD3">
        <w:rPr>
          <w:rFonts w:cs="Arial"/>
          <w:color w:val="000000" w:themeColor="text1"/>
          <w:lang w:val="fr-CH"/>
        </w:rPr>
        <w:br/>
      </w:r>
      <w:r w:rsidR="00614FD3" w:rsidRPr="00614FD3">
        <w:rPr>
          <w:rFonts w:cs="Arial"/>
          <w:color w:val="000000" w:themeColor="text1"/>
          <w:lang w:val="fr-CH"/>
        </w:rPr>
        <w:t>- l'entrepreneur corrige les défauts dans le cadre de la garantie.</w:t>
      </w:r>
      <w:r w:rsidR="005A5999" w:rsidRPr="00614FD3">
        <w:rPr>
          <w:rFonts w:cs="Arial"/>
          <w:color w:val="000000" w:themeColor="text1"/>
          <w:lang w:val="fr-CH"/>
        </w:rPr>
        <w:tab/>
      </w:r>
      <w:r w:rsidR="009C23CD" w:rsidRPr="00614FD3">
        <w:rPr>
          <w:rFonts w:cs="Arial"/>
          <w:color w:val="000000" w:themeColor="text1"/>
          <w:lang w:val="fr-CH"/>
        </w:rPr>
        <w:br/>
      </w:r>
      <w:r w:rsidR="009C23CD" w:rsidRPr="00614FD3">
        <w:rPr>
          <w:rFonts w:cs="Arial"/>
          <w:color w:val="000000" w:themeColor="text1"/>
          <w:lang w:val="fr-CH"/>
        </w:rPr>
        <w:br/>
      </w:r>
      <w:r w:rsidR="00075ED7">
        <w:rPr>
          <w:rFonts w:cs="Arial"/>
          <w:color w:val="000000" w:themeColor="text1"/>
          <w:lang w:val="fr-CH"/>
        </w:rPr>
        <w:t xml:space="preserve">Après l'expiration </w:t>
      </w:r>
      <w:r w:rsidR="004E5D45" w:rsidRPr="004E5D45">
        <w:rPr>
          <w:rFonts w:cs="Arial"/>
          <w:color w:val="000000" w:themeColor="text1"/>
          <w:lang w:val="fr-CH"/>
        </w:rPr>
        <w:t xml:space="preserve">du délai de </w:t>
      </w:r>
      <w:r w:rsidR="00075ED7">
        <w:rPr>
          <w:rFonts w:cs="Arial"/>
          <w:color w:val="000000" w:themeColor="text1"/>
          <w:lang w:val="fr-CH"/>
        </w:rPr>
        <w:t xml:space="preserve">dénonciation des </w:t>
      </w:r>
      <w:proofErr w:type="gramStart"/>
      <w:r w:rsidR="00075ED7">
        <w:rPr>
          <w:rFonts w:cs="Arial"/>
          <w:color w:val="000000" w:themeColor="text1"/>
          <w:lang w:val="fr-CH"/>
        </w:rPr>
        <w:t>défauts</w:t>
      </w:r>
      <w:r w:rsidR="004E5D45" w:rsidRPr="004E5D45">
        <w:rPr>
          <w:rFonts w:cs="Arial"/>
          <w:color w:val="000000" w:themeColor="text1"/>
          <w:lang w:val="fr-CH"/>
        </w:rPr>
        <w:t>:</w:t>
      </w:r>
      <w:proofErr w:type="gramEnd"/>
      <w:r w:rsidR="004E5D45" w:rsidRPr="004E5D45">
        <w:rPr>
          <w:rFonts w:cs="Arial"/>
          <w:color w:val="000000" w:themeColor="text1"/>
          <w:lang w:val="fr-CH"/>
        </w:rPr>
        <w:t xml:space="preserve"> </w:t>
      </w:r>
      <w:r w:rsidR="004E5D45">
        <w:rPr>
          <w:rFonts w:cs="Arial"/>
          <w:color w:val="000000" w:themeColor="text1"/>
          <w:lang w:val="fr-CH"/>
        </w:rPr>
        <w:br/>
      </w:r>
      <w:r w:rsidR="004E5D45" w:rsidRPr="004E5D45">
        <w:rPr>
          <w:rFonts w:cs="Arial"/>
          <w:color w:val="000000" w:themeColor="text1"/>
          <w:lang w:val="fr-CH"/>
        </w:rPr>
        <w:t>- l'OFCL-OM désigne un gestionnaire de la</w:t>
      </w:r>
      <w:r w:rsidR="004E5D45">
        <w:rPr>
          <w:rFonts w:cs="Arial"/>
          <w:color w:val="000000" w:themeColor="text1"/>
          <w:lang w:val="fr-CH"/>
        </w:rPr>
        <w:t xml:space="preserve"> plateforme de surveillance </w:t>
      </w:r>
      <w:r w:rsidR="004E5D45">
        <w:rPr>
          <w:rFonts w:cs="Arial"/>
          <w:color w:val="000000" w:themeColor="text1"/>
          <w:lang w:val="fr-CH"/>
        </w:rPr>
        <w:br/>
      </w:r>
      <w:r w:rsidR="00223348">
        <w:rPr>
          <w:rFonts w:cs="Arial"/>
          <w:color w:val="000000" w:themeColor="text1"/>
          <w:lang w:val="fr-CH"/>
        </w:rPr>
        <w:t>- l</w:t>
      </w:r>
      <w:r w:rsidR="004E5D45" w:rsidRPr="004E5D45">
        <w:rPr>
          <w:rFonts w:cs="Arial"/>
          <w:color w:val="000000" w:themeColor="text1"/>
          <w:lang w:val="fr-CH"/>
        </w:rPr>
        <w:t xml:space="preserve">'OFCL-OM règle l'accès au portail de la plateforme de surveillance </w:t>
      </w:r>
      <w:r w:rsidR="004E5D45">
        <w:rPr>
          <w:rFonts w:cs="Arial"/>
          <w:color w:val="000000" w:themeColor="text1"/>
          <w:lang w:val="fr-CH"/>
        </w:rPr>
        <w:br/>
      </w:r>
      <w:r w:rsidR="004E5D45" w:rsidRPr="004E5D45">
        <w:rPr>
          <w:rFonts w:cs="Arial"/>
          <w:color w:val="000000" w:themeColor="text1"/>
          <w:lang w:val="fr-CH"/>
        </w:rPr>
        <w:t xml:space="preserve">- </w:t>
      </w:r>
      <w:r w:rsidR="00223348">
        <w:rPr>
          <w:rFonts w:cs="Arial"/>
          <w:color w:val="000000" w:themeColor="text1"/>
          <w:lang w:val="fr-CH"/>
        </w:rPr>
        <w:t>l</w:t>
      </w:r>
      <w:r w:rsidR="004E5D45" w:rsidRPr="004E5D45">
        <w:rPr>
          <w:rFonts w:cs="Arial"/>
          <w:color w:val="000000" w:themeColor="text1"/>
          <w:lang w:val="fr-CH"/>
        </w:rPr>
        <w:t xml:space="preserve">'OFCL-OM règle la surveillance de l'installation </w:t>
      </w:r>
      <w:r w:rsidR="004E5D45">
        <w:rPr>
          <w:rFonts w:cs="Arial"/>
          <w:color w:val="000000" w:themeColor="text1"/>
          <w:lang w:val="fr-CH"/>
        </w:rPr>
        <w:br/>
      </w:r>
      <w:r w:rsidR="004E5D45" w:rsidRPr="004E5D45">
        <w:rPr>
          <w:rFonts w:cs="Arial"/>
          <w:color w:val="000000" w:themeColor="text1"/>
          <w:lang w:val="fr-CH"/>
        </w:rPr>
        <w:t>- l'OFCL-OM élimine les éventuels défauts</w:t>
      </w:r>
      <w:r w:rsidR="004E5D45">
        <w:rPr>
          <w:rFonts w:cs="Arial"/>
          <w:color w:val="000000" w:themeColor="text1"/>
          <w:lang w:val="fr-CH"/>
        </w:rPr>
        <w:t xml:space="preserve"> dans l'intérêt du propriétaire</w:t>
      </w:r>
      <w:r w:rsidR="005A5999" w:rsidRPr="004E5D45">
        <w:rPr>
          <w:rFonts w:cs="Arial"/>
          <w:color w:val="000000" w:themeColor="text1"/>
          <w:lang w:val="fr-CH"/>
        </w:rPr>
        <w:tab/>
      </w:r>
    </w:p>
    <w:p w:rsidR="008256BE" w:rsidRDefault="008256BE" w:rsidP="009C23CD">
      <w:pPr>
        <w:spacing w:line="276" w:lineRule="auto"/>
        <w:rPr>
          <w:rFonts w:cs="Arial"/>
          <w:color w:val="000000" w:themeColor="text1"/>
          <w:lang w:val="fr-CH"/>
        </w:rPr>
      </w:pPr>
    </w:p>
    <w:p w:rsidR="008256BE" w:rsidRDefault="00B976FC" w:rsidP="00B976FC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B976FC">
        <w:rPr>
          <w:rFonts w:cs="Arial"/>
          <w:color w:val="000000" w:themeColor="text1"/>
          <w:lang w:val="fr-CH"/>
        </w:rPr>
        <w:t>Première installation et coûts liés à la carte SIM: étant donné que les frais annuels ainsi que les coûts liés à la carte SIM constituent de petits montant</w:t>
      </w:r>
      <w:r w:rsidR="00223348">
        <w:rPr>
          <w:rFonts w:cs="Arial"/>
          <w:color w:val="000000" w:themeColor="text1"/>
          <w:lang w:val="fr-CH"/>
        </w:rPr>
        <w:t>s</w:t>
      </w:r>
      <w:r w:rsidRPr="00B976FC">
        <w:rPr>
          <w:rFonts w:cs="Arial"/>
          <w:color w:val="000000" w:themeColor="text1"/>
          <w:lang w:val="fr-CH"/>
        </w:rPr>
        <w:t>, et dans la mesure où une mutation engendrerait des coûts démesurés (carte SIM: 11 francs par mois / frais liés à l'accès au portail de la plateforme de surveillance: env. 150 francs par an), le responsable du bâtiment doit mettre la carte SIM à disposition et ouvrir l'accès au portail de la plateforme de surveillance à son nom.</w:t>
      </w:r>
      <w:r w:rsidR="005A5999" w:rsidRPr="00B976FC">
        <w:rPr>
          <w:rFonts w:cs="Arial"/>
          <w:color w:val="000000" w:themeColor="text1"/>
          <w:lang w:val="fr-CH"/>
        </w:rPr>
        <w:tab/>
      </w:r>
      <w:r w:rsidR="005A5999" w:rsidRPr="00B976FC">
        <w:rPr>
          <w:rFonts w:cs="Arial"/>
          <w:color w:val="000000" w:themeColor="text1"/>
          <w:lang w:val="fr-CH"/>
        </w:rPr>
        <w:br/>
      </w:r>
      <w:r w:rsidRPr="00B976FC">
        <w:rPr>
          <w:rFonts w:cs="Arial"/>
          <w:color w:val="000000" w:themeColor="text1"/>
          <w:lang w:val="fr-CH"/>
        </w:rPr>
        <w:t>Si la réception GSM ne fonctionne pas, il est possible de choisir des connexions alternatives à la plateforme de surveillance.</w:t>
      </w:r>
    </w:p>
    <w:p w:rsidR="005B40D7" w:rsidRPr="006152EE" w:rsidRDefault="00B976FC" w:rsidP="006152EE">
      <w:pPr>
        <w:pStyle w:val="Listenabsatz"/>
        <w:numPr>
          <w:ilvl w:val="0"/>
          <w:numId w:val="16"/>
        </w:numPr>
        <w:spacing w:line="276" w:lineRule="auto"/>
        <w:ind w:left="357" w:hanging="357"/>
        <w:jc w:val="both"/>
        <w:rPr>
          <w:rFonts w:cs="Arial"/>
          <w:color w:val="000000" w:themeColor="text1"/>
          <w:lang w:val="fr-CH"/>
        </w:rPr>
      </w:pPr>
      <w:r w:rsidRPr="00B976FC">
        <w:rPr>
          <w:rFonts w:cs="Arial"/>
          <w:color w:val="000000" w:themeColor="text1"/>
          <w:lang w:val="fr-CH"/>
        </w:rPr>
        <w:t>Aucun contrat de maintenance n'est conclu.</w:t>
      </w:r>
      <w:r w:rsidR="005A5999" w:rsidRPr="00B976FC">
        <w:rPr>
          <w:rFonts w:cs="Arial"/>
          <w:color w:val="000000" w:themeColor="text1"/>
          <w:lang w:val="fr-CH"/>
        </w:rPr>
        <w:tab/>
      </w:r>
      <w:r w:rsidR="009C23CD" w:rsidRPr="00B976FC">
        <w:rPr>
          <w:rFonts w:cs="Arial"/>
          <w:color w:val="000000" w:themeColor="text1"/>
          <w:lang w:val="fr-CH"/>
        </w:rPr>
        <w:t xml:space="preserve"> </w:t>
      </w:r>
      <w:r w:rsidR="009C23CD" w:rsidRPr="00B976FC">
        <w:rPr>
          <w:rFonts w:cs="Arial"/>
          <w:color w:val="000000" w:themeColor="text1"/>
          <w:lang w:val="fr-CH"/>
        </w:rPr>
        <w:br/>
      </w:r>
      <w:r w:rsidR="00075ED7" w:rsidRPr="00075ED7">
        <w:rPr>
          <w:rFonts w:cs="Arial"/>
          <w:color w:val="000000" w:themeColor="text1"/>
          <w:lang w:val="fr-CH"/>
        </w:rPr>
        <w:t xml:space="preserve">Après l'expiration du délai de dénonciation des défauts, l'OFCL-OM définit le </w:t>
      </w:r>
      <w:proofErr w:type="gramStart"/>
      <w:r w:rsidR="00075ED7" w:rsidRPr="00075ED7">
        <w:rPr>
          <w:rFonts w:cs="Arial"/>
          <w:color w:val="000000" w:themeColor="text1"/>
          <w:lang w:val="fr-CH"/>
        </w:rPr>
        <w:t>fonctionnement;</w:t>
      </w:r>
      <w:proofErr w:type="gramEnd"/>
      <w:r w:rsidR="00075ED7" w:rsidRPr="00075ED7">
        <w:rPr>
          <w:rFonts w:cs="Arial"/>
          <w:color w:val="000000" w:themeColor="text1"/>
          <w:lang w:val="fr-CH"/>
        </w:rPr>
        <w:t xml:space="preserve"> les annonces de l'accès au portail d'une plateforme de surveillance sont transmises à un bureau de coordination centralisé (par ex. </w:t>
      </w:r>
      <w:r w:rsidR="00075ED7" w:rsidRPr="000A74E1">
        <w:rPr>
          <w:rFonts w:cs="Arial"/>
          <w:color w:val="000000" w:themeColor="text1"/>
          <w:lang w:val="fr-CH"/>
        </w:rPr>
        <w:t>_BBL-SupportOBB [supportobb@bbl.admin.ch]</w:t>
      </w:r>
      <w:r w:rsidR="00223348">
        <w:rPr>
          <w:rFonts w:cs="Arial"/>
          <w:color w:val="000000" w:themeColor="text1"/>
          <w:lang w:val="fr-CH"/>
        </w:rPr>
        <w:t>).</w:t>
      </w:r>
      <w:r w:rsidR="009C23CD" w:rsidRPr="000A74E1">
        <w:rPr>
          <w:rFonts w:cs="Arial"/>
          <w:color w:val="000000" w:themeColor="text1"/>
          <w:lang w:val="fr-CH"/>
        </w:rPr>
        <w:t xml:space="preserve"> </w:t>
      </w:r>
      <w:r w:rsidR="00075ED7" w:rsidRPr="00075ED7">
        <w:rPr>
          <w:rFonts w:cs="Arial"/>
          <w:color w:val="000000" w:themeColor="text1"/>
          <w:lang w:val="fr-CH"/>
        </w:rPr>
        <w:t>Si le rapport entre les produits financiers et les frais de maintenance est défavorable, il convient de renoncer à un abonnement de maintenance, c'est à dire à conclure un contrat de maintenance.</w:t>
      </w:r>
    </w:p>
    <w:sectPr w:rsidR="005B40D7" w:rsidRPr="006152EE" w:rsidSect="00F031C8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47" w:rsidRDefault="002F2B47">
      <w:r>
        <w:separator/>
      </w:r>
    </w:p>
  </w:endnote>
  <w:endnote w:type="continuationSeparator" w:id="0">
    <w:p w:rsidR="002F2B47" w:rsidRDefault="002F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48" w:rsidRPr="00702AEA" w:rsidRDefault="00702AEA" w:rsidP="006152EE">
    <w:pPr>
      <w:pStyle w:val="Fuzeile"/>
      <w:tabs>
        <w:tab w:val="clear" w:pos="4536"/>
        <w:tab w:val="clear" w:pos="9072"/>
        <w:tab w:val="right" w:pos="9900"/>
      </w:tabs>
      <w:ind w:left="180"/>
      <w:rPr>
        <w:sz w:val="16"/>
        <w:szCs w:val="16"/>
        <w:lang w:val="fr-CH"/>
      </w:rPr>
    </w:pPr>
    <w:r w:rsidRPr="00702AEA">
      <w:rPr>
        <w:sz w:val="12"/>
        <w:szCs w:val="12"/>
        <w:lang w:val="fr-CH"/>
      </w:rPr>
      <w:t>O:\Quer\00Prozessdokumente\K1_Projektmanagement\K1P90_Fachberatung</w:t>
    </w:r>
    <w:r w:rsidR="009C23CD" w:rsidRPr="00702AEA">
      <w:rPr>
        <w:sz w:val="12"/>
        <w:szCs w:val="12"/>
        <w:lang w:val="fr-CH"/>
      </w:rPr>
      <w:t>\</w:t>
    </w:r>
    <w:r w:rsidR="00EC269A" w:rsidRPr="00702AEA">
      <w:rPr>
        <w:b/>
        <w:sz w:val="12"/>
        <w:szCs w:val="12"/>
        <w:lang w:val="fr-CH"/>
      </w:rPr>
      <w:t xml:space="preserve"> </w:t>
    </w:r>
    <w:r w:rsidR="00EC269A" w:rsidRPr="00702AEA">
      <w:rPr>
        <w:sz w:val="12"/>
        <w:szCs w:val="12"/>
        <w:lang w:val="fr-CH"/>
      </w:rPr>
      <w:t>K1P90_C15d_construction d'installations photovoltaïques en Suisse</w:t>
    </w:r>
    <w:r w:rsidR="009C23CD" w:rsidRPr="00EC269A">
      <w:rPr>
        <w:sz w:val="16"/>
        <w:szCs w:val="16"/>
        <w:lang w:val="fr-CH"/>
      </w:rPr>
      <w:tab/>
    </w:r>
    <w:r w:rsidR="00DE15E5" w:rsidRPr="004F65B4">
      <w:rPr>
        <w:rStyle w:val="Seitenzahl"/>
        <w:sz w:val="16"/>
        <w:szCs w:val="16"/>
      </w:rPr>
      <w:fldChar w:fldCharType="begin"/>
    </w:r>
    <w:r w:rsidR="009C23CD" w:rsidRPr="00EC269A">
      <w:rPr>
        <w:rStyle w:val="Seitenzahl"/>
        <w:sz w:val="16"/>
        <w:szCs w:val="16"/>
        <w:lang w:val="fr-CH"/>
      </w:rPr>
      <w:instrText xml:space="preserve"> PAGE </w:instrText>
    </w:r>
    <w:r w:rsidR="00DE15E5" w:rsidRPr="004F65B4">
      <w:rPr>
        <w:rStyle w:val="Seitenzahl"/>
        <w:sz w:val="16"/>
        <w:szCs w:val="16"/>
      </w:rPr>
      <w:fldChar w:fldCharType="separate"/>
    </w:r>
    <w:r w:rsidR="002E6C9A">
      <w:rPr>
        <w:rStyle w:val="Seitenzahl"/>
        <w:noProof/>
        <w:sz w:val="16"/>
        <w:szCs w:val="16"/>
        <w:lang w:val="fr-CH"/>
      </w:rPr>
      <w:t>3</w:t>
    </w:r>
    <w:r w:rsidR="00DE15E5" w:rsidRPr="004F65B4">
      <w:rPr>
        <w:rStyle w:val="Seitenzahl"/>
        <w:sz w:val="16"/>
        <w:szCs w:val="16"/>
      </w:rPr>
      <w:fldChar w:fldCharType="end"/>
    </w:r>
    <w:r w:rsidR="009C23CD" w:rsidRPr="00EC269A">
      <w:rPr>
        <w:rStyle w:val="Seitenzahl"/>
        <w:sz w:val="16"/>
        <w:szCs w:val="16"/>
        <w:lang w:val="fr-CH"/>
      </w:rPr>
      <w:t xml:space="preserve"> </w:t>
    </w:r>
    <w:r w:rsidR="00D56870" w:rsidRPr="00EC269A">
      <w:rPr>
        <w:rStyle w:val="Seitenzahl"/>
        <w:sz w:val="16"/>
        <w:szCs w:val="16"/>
        <w:lang w:val="fr-CH"/>
      </w:rPr>
      <w:t>sur</w:t>
    </w:r>
    <w:r w:rsidR="009C23CD" w:rsidRPr="00EC269A">
      <w:rPr>
        <w:rStyle w:val="Seitenzahl"/>
        <w:sz w:val="16"/>
        <w:szCs w:val="16"/>
        <w:lang w:val="fr-CH"/>
      </w:rPr>
      <w:t xml:space="preserve"> </w:t>
    </w:r>
    <w:r w:rsidR="00DE15E5" w:rsidRPr="004F65B4">
      <w:rPr>
        <w:rStyle w:val="Seitenzahl"/>
        <w:sz w:val="16"/>
        <w:szCs w:val="16"/>
      </w:rPr>
      <w:fldChar w:fldCharType="begin"/>
    </w:r>
    <w:r w:rsidR="009C23CD" w:rsidRPr="00EC269A">
      <w:rPr>
        <w:rStyle w:val="Seitenzahl"/>
        <w:sz w:val="16"/>
        <w:szCs w:val="16"/>
        <w:lang w:val="fr-CH"/>
      </w:rPr>
      <w:instrText xml:space="preserve"> NUMPAGES </w:instrText>
    </w:r>
    <w:r w:rsidR="00DE15E5" w:rsidRPr="004F65B4">
      <w:rPr>
        <w:rStyle w:val="Seitenzahl"/>
        <w:sz w:val="16"/>
        <w:szCs w:val="16"/>
      </w:rPr>
      <w:fldChar w:fldCharType="separate"/>
    </w:r>
    <w:r w:rsidR="002E6C9A">
      <w:rPr>
        <w:rStyle w:val="Seitenzahl"/>
        <w:noProof/>
        <w:sz w:val="16"/>
        <w:szCs w:val="16"/>
        <w:lang w:val="fr-CH"/>
      </w:rPr>
      <w:t>6</w:t>
    </w:r>
    <w:r w:rsidR="00DE15E5" w:rsidRPr="004F65B4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47" w:rsidRDefault="002F2B47">
      <w:r>
        <w:separator/>
      </w:r>
    </w:p>
  </w:footnote>
  <w:footnote w:type="continuationSeparator" w:id="0">
    <w:p w:rsidR="002F2B47" w:rsidRDefault="002F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ook w:val="01E0" w:firstRow="1" w:lastRow="1" w:firstColumn="1" w:lastColumn="1" w:noHBand="0" w:noVBand="0"/>
    </w:tblPr>
    <w:tblGrid>
      <w:gridCol w:w="3652"/>
      <w:gridCol w:w="6536"/>
    </w:tblGrid>
    <w:tr w:rsidR="009C23CD" w:rsidRPr="002E6C9A" w:rsidTr="00DC3BBD">
      <w:trPr>
        <w:trHeight w:val="360"/>
      </w:trPr>
      <w:tc>
        <w:tcPr>
          <w:tcW w:w="3652" w:type="dxa"/>
        </w:tcPr>
        <w:p w:rsidR="009C23CD" w:rsidRPr="00276632" w:rsidRDefault="00276632" w:rsidP="007D34BB">
          <w:pPr>
            <w:pStyle w:val="Kopfzeile"/>
            <w:rPr>
              <w:b/>
              <w:sz w:val="16"/>
              <w:szCs w:val="16"/>
              <w:lang w:val="fr-CH"/>
            </w:rPr>
          </w:pPr>
          <w:r w:rsidRPr="00276632">
            <w:rPr>
              <w:b/>
              <w:sz w:val="16"/>
              <w:szCs w:val="16"/>
              <w:lang w:val="fr-CH"/>
            </w:rPr>
            <w:t>Office fédéral des constructions et de la logistique</w:t>
          </w:r>
        </w:p>
      </w:tc>
      <w:tc>
        <w:tcPr>
          <w:tcW w:w="6536" w:type="dxa"/>
        </w:tcPr>
        <w:p w:rsidR="009C23CD" w:rsidRPr="00276632" w:rsidRDefault="009C23CD" w:rsidP="00EC269A">
          <w:pPr>
            <w:pStyle w:val="Kopfzeile"/>
            <w:tabs>
              <w:tab w:val="clear" w:pos="4536"/>
              <w:tab w:val="right" w:pos="4176"/>
            </w:tabs>
            <w:jc w:val="right"/>
            <w:rPr>
              <w:b/>
              <w:sz w:val="20"/>
              <w:szCs w:val="20"/>
              <w:lang w:val="fr-CH"/>
            </w:rPr>
          </w:pPr>
          <w:r w:rsidRPr="00276632">
            <w:rPr>
              <w:b/>
              <w:sz w:val="20"/>
              <w:szCs w:val="20"/>
              <w:lang w:val="fr-CH"/>
            </w:rPr>
            <w:t>K1P90_C</w:t>
          </w:r>
          <w:r w:rsidR="003C5277" w:rsidRPr="00276632">
            <w:rPr>
              <w:b/>
              <w:sz w:val="20"/>
              <w:szCs w:val="20"/>
              <w:lang w:val="fr-CH"/>
            </w:rPr>
            <w:t>15</w:t>
          </w:r>
          <w:r w:rsidRPr="00276632">
            <w:rPr>
              <w:b/>
              <w:sz w:val="20"/>
              <w:szCs w:val="20"/>
              <w:lang w:val="fr-CH"/>
            </w:rPr>
            <w:t>d_</w:t>
          </w:r>
          <w:r w:rsidR="00EC269A">
            <w:rPr>
              <w:b/>
              <w:sz w:val="20"/>
              <w:szCs w:val="20"/>
              <w:lang w:val="fr-CH"/>
            </w:rPr>
            <w:t>c</w:t>
          </w:r>
          <w:r w:rsidR="00276632" w:rsidRPr="00276632">
            <w:rPr>
              <w:b/>
              <w:sz w:val="20"/>
              <w:szCs w:val="20"/>
              <w:lang w:val="fr-CH"/>
            </w:rPr>
            <w:t>onstruction d'installations photovolta</w:t>
          </w:r>
          <w:r w:rsidR="00276632">
            <w:rPr>
              <w:b/>
              <w:sz w:val="20"/>
              <w:szCs w:val="20"/>
              <w:lang w:val="fr-CH"/>
            </w:rPr>
            <w:t>ïques en Suisse</w:t>
          </w:r>
        </w:p>
      </w:tc>
    </w:tr>
    <w:tr w:rsidR="009C23CD" w:rsidRPr="00CD53A9" w:rsidTr="00DC3BBD">
      <w:tc>
        <w:tcPr>
          <w:tcW w:w="3652" w:type="dxa"/>
          <w:vAlign w:val="center"/>
        </w:tcPr>
        <w:p w:rsidR="009C23CD" w:rsidRPr="00BA6AB8" w:rsidRDefault="00276632" w:rsidP="003C5277">
          <w:pPr>
            <w:pStyle w:val="Kopfzeile"/>
            <w:tabs>
              <w:tab w:val="left" w:pos="162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Dernière modification</w:t>
          </w:r>
          <w:r w:rsidR="009C23CD" w:rsidRPr="00BA6AB8">
            <w:rPr>
              <w:sz w:val="16"/>
              <w:szCs w:val="16"/>
            </w:rPr>
            <w:t xml:space="preserve">: </w:t>
          </w:r>
          <w:r w:rsidR="009C23CD" w:rsidRPr="00BA6AB8">
            <w:rPr>
              <w:sz w:val="16"/>
              <w:szCs w:val="16"/>
            </w:rPr>
            <w:tab/>
          </w:r>
          <w:r w:rsidR="003C5277">
            <w:rPr>
              <w:sz w:val="16"/>
              <w:szCs w:val="16"/>
            </w:rPr>
            <w:t>29.9.2014</w:t>
          </w:r>
          <w:r w:rsidR="009C23CD" w:rsidRPr="003C5277">
            <w:rPr>
              <w:sz w:val="16"/>
              <w:szCs w:val="16"/>
            </w:rPr>
            <w:t xml:space="preserve"> </w:t>
          </w:r>
          <w:r w:rsidR="009C23CD" w:rsidRPr="00BA6AB8">
            <w:rPr>
              <w:sz w:val="16"/>
              <w:szCs w:val="16"/>
            </w:rPr>
            <w:t xml:space="preserve">/ </w:t>
          </w:r>
          <w:r w:rsidR="009C23CD">
            <w:rPr>
              <w:sz w:val="16"/>
              <w:szCs w:val="16"/>
            </w:rPr>
            <w:t>busi</w:t>
          </w:r>
        </w:p>
      </w:tc>
      <w:tc>
        <w:tcPr>
          <w:tcW w:w="6536" w:type="dxa"/>
          <w:vAlign w:val="center"/>
        </w:tcPr>
        <w:p w:rsidR="009C23CD" w:rsidRPr="00BA6AB8" w:rsidRDefault="00276632" w:rsidP="00BA6AB8">
          <w:pPr>
            <w:pStyle w:val="Kopfzeile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Liste de contrôle</w:t>
          </w:r>
        </w:p>
      </w:tc>
    </w:tr>
    <w:tr w:rsidR="009C23CD" w:rsidRPr="00EC269A" w:rsidTr="00DC3BBD">
      <w:trPr>
        <w:trHeight w:val="126"/>
      </w:trPr>
      <w:tc>
        <w:tcPr>
          <w:tcW w:w="3652" w:type="dxa"/>
          <w:vAlign w:val="center"/>
        </w:tcPr>
        <w:p w:rsidR="009C23CD" w:rsidRPr="00EC269A" w:rsidRDefault="00276632" w:rsidP="00EC269A">
          <w:pPr>
            <w:pStyle w:val="Kopfzeile"/>
            <w:tabs>
              <w:tab w:val="left" w:pos="1620"/>
            </w:tabs>
            <w:rPr>
              <w:sz w:val="16"/>
              <w:szCs w:val="16"/>
            </w:rPr>
          </w:pPr>
          <w:r w:rsidRPr="00EC269A">
            <w:rPr>
              <w:sz w:val="16"/>
              <w:szCs w:val="16"/>
            </w:rPr>
            <w:t>Entrée en vigueur</w:t>
          </w:r>
          <w:r w:rsidR="009C23CD" w:rsidRPr="00EC269A">
            <w:rPr>
              <w:sz w:val="16"/>
              <w:szCs w:val="16"/>
            </w:rPr>
            <w:t>:</w:t>
          </w:r>
          <w:r w:rsidR="009C23CD" w:rsidRPr="00EC269A">
            <w:rPr>
              <w:sz w:val="16"/>
              <w:szCs w:val="16"/>
            </w:rPr>
            <w:tab/>
          </w:r>
          <w:r w:rsidR="00EC269A" w:rsidRPr="00EC269A">
            <w:rPr>
              <w:sz w:val="16"/>
              <w:szCs w:val="16"/>
            </w:rPr>
            <w:t>1.</w:t>
          </w:r>
          <w:r w:rsidR="00EC269A">
            <w:rPr>
              <w:sz w:val="16"/>
              <w:szCs w:val="16"/>
            </w:rPr>
            <w:t>1.2015</w:t>
          </w:r>
          <w:r w:rsidR="009C23CD" w:rsidRPr="00EC269A">
            <w:rPr>
              <w:sz w:val="16"/>
              <w:szCs w:val="16"/>
            </w:rPr>
            <w:t xml:space="preserve"> / winh</w:t>
          </w:r>
        </w:p>
      </w:tc>
      <w:tc>
        <w:tcPr>
          <w:tcW w:w="6536" w:type="dxa"/>
          <w:vAlign w:val="center"/>
        </w:tcPr>
        <w:p w:rsidR="009C23CD" w:rsidRPr="00EC269A" w:rsidRDefault="009C23CD" w:rsidP="00705998">
          <w:pPr>
            <w:pStyle w:val="Kopfzeile"/>
            <w:rPr>
              <w:sz w:val="16"/>
              <w:szCs w:val="16"/>
            </w:rPr>
          </w:pPr>
        </w:p>
      </w:tc>
    </w:tr>
  </w:tbl>
  <w:p w:rsidR="009C23CD" w:rsidRPr="00EC269A" w:rsidRDefault="009C23CD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F0C0C8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555"/>
        </w:tabs>
        <w:ind w:left="2555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851" w:hanging="851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284" w:hanging="284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851" w:hanging="85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3A0752"/>
    <w:multiLevelType w:val="hybridMultilevel"/>
    <w:tmpl w:val="23281F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E5F8A"/>
    <w:multiLevelType w:val="hybridMultilevel"/>
    <w:tmpl w:val="87C0415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8D12A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9602F"/>
    <w:multiLevelType w:val="hybridMultilevel"/>
    <w:tmpl w:val="827896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3440"/>
    <w:multiLevelType w:val="hybridMultilevel"/>
    <w:tmpl w:val="554CA06A"/>
    <w:lvl w:ilvl="0" w:tplc="51DE48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6891"/>
    <w:multiLevelType w:val="hybridMultilevel"/>
    <w:tmpl w:val="131C6F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E2D"/>
    <w:multiLevelType w:val="hybridMultilevel"/>
    <w:tmpl w:val="E27AED44"/>
    <w:lvl w:ilvl="0" w:tplc="6DF25EC4">
      <w:start w:val="3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C241F"/>
    <w:multiLevelType w:val="hybridMultilevel"/>
    <w:tmpl w:val="FC42F968"/>
    <w:lvl w:ilvl="0" w:tplc="D114A4D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4F1E"/>
    <w:multiLevelType w:val="hybridMultilevel"/>
    <w:tmpl w:val="F238FC5E"/>
    <w:lvl w:ilvl="0" w:tplc="065C6E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-92"/>
        </w:tabs>
        <w:ind w:left="-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628"/>
        </w:tabs>
        <w:ind w:left="6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068"/>
        </w:tabs>
        <w:ind w:left="20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788"/>
        </w:tabs>
        <w:ind w:left="27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228"/>
        </w:tabs>
        <w:ind w:left="42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948"/>
        </w:tabs>
        <w:ind w:left="4948" w:hanging="360"/>
      </w:pPr>
      <w:rPr>
        <w:rFonts w:ascii="Wingdings" w:hAnsi="Wingdings" w:hint="default"/>
      </w:rPr>
    </w:lvl>
  </w:abstractNum>
  <w:abstractNum w:abstractNumId="9" w15:restartNumberingAfterBreak="0">
    <w:nsid w:val="5A73254B"/>
    <w:multiLevelType w:val="hybridMultilevel"/>
    <w:tmpl w:val="B2CE403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B756A0"/>
    <w:multiLevelType w:val="hybridMultilevel"/>
    <w:tmpl w:val="12465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E22210"/>
    <w:multiLevelType w:val="hybridMultilevel"/>
    <w:tmpl w:val="EA74FC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33E84"/>
    <w:multiLevelType w:val="hybridMultilevel"/>
    <w:tmpl w:val="0910FB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5215"/>
    <w:multiLevelType w:val="hybridMultilevel"/>
    <w:tmpl w:val="E97270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8C3169"/>
    <w:multiLevelType w:val="hybridMultilevel"/>
    <w:tmpl w:val="A120C82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14F43"/>
    <w:multiLevelType w:val="hybridMultilevel"/>
    <w:tmpl w:val="B79664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+U7wf/AOfnszr5bW7rK3B085tNzMBDlFeal1P+7cw80QU/3KMM7r0/mqhu3cbXQFQdeaPnV/pIC0nGo7B3TDg==" w:salt="YAJgPFaLwFQhspcdwK6ciQ==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TermBase locale CHM"/>
    <w:docVar w:name="TermBaseURL" w:val="empty"/>
    <w:docVar w:name="TextBases" w:val="TextBase D-F 2014|TextBase D-F 2013|TextBase D-F 2012|TextBase Dokumentation D-F|Langfristige Dokumente D-F|TextBase D-F"/>
    <w:docVar w:name="TextBaseURL" w:val="empty"/>
    <w:docVar w:name="UILng" w:val="fr"/>
  </w:docVars>
  <w:rsids>
    <w:rsidRoot w:val="00232FA3"/>
    <w:rsid w:val="00003ABF"/>
    <w:rsid w:val="000135B3"/>
    <w:rsid w:val="0001782E"/>
    <w:rsid w:val="00045597"/>
    <w:rsid w:val="00051B09"/>
    <w:rsid w:val="00060CD1"/>
    <w:rsid w:val="00063446"/>
    <w:rsid w:val="00075526"/>
    <w:rsid w:val="00075ED7"/>
    <w:rsid w:val="000A17D5"/>
    <w:rsid w:val="000A59F6"/>
    <w:rsid w:val="000A74E1"/>
    <w:rsid w:val="000B0949"/>
    <w:rsid w:val="000B3896"/>
    <w:rsid w:val="000C360D"/>
    <w:rsid w:val="000C4B02"/>
    <w:rsid w:val="000C75C3"/>
    <w:rsid w:val="000E3733"/>
    <w:rsid w:val="000E3B9A"/>
    <w:rsid w:val="000E5A3D"/>
    <w:rsid w:val="000F043E"/>
    <w:rsid w:val="00100357"/>
    <w:rsid w:val="00115620"/>
    <w:rsid w:val="00136BFF"/>
    <w:rsid w:val="00143FBC"/>
    <w:rsid w:val="00146A70"/>
    <w:rsid w:val="00155E36"/>
    <w:rsid w:val="00191E98"/>
    <w:rsid w:val="00195955"/>
    <w:rsid w:val="00196BC8"/>
    <w:rsid w:val="00197A01"/>
    <w:rsid w:val="001A2D74"/>
    <w:rsid w:val="001B1C86"/>
    <w:rsid w:val="001B2AFD"/>
    <w:rsid w:val="001B2CE2"/>
    <w:rsid w:val="001B7948"/>
    <w:rsid w:val="001C6924"/>
    <w:rsid w:val="001D0F06"/>
    <w:rsid w:val="001D2936"/>
    <w:rsid w:val="001D36CF"/>
    <w:rsid w:val="002068E5"/>
    <w:rsid w:val="00223348"/>
    <w:rsid w:val="00223B48"/>
    <w:rsid w:val="00232FA3"/>
    <w:rsid w:val="00240E52"/>
    <w:rsid w:val="00243C1A"/>
    <w:rsid w:val="002511D3"/>
    <w:rsid w:val="0025338A"/>
    <w:rsid w:val="00254F83"/>
    <w:rsid w:val="0026507E"/>
    <w:rsid w:val="00276632"/>
    <w:rsid w:val="00276CD4"/>
    <w:rsid w:val="00280878"/>
    <w:rsid w:val="00281189"/>
    <w:rsid w:val="002839E8"/>
    <w:rsid w:val="0028560D"/>
    <w:rsid w:val="002A379B"/>
    <w:rsid w:val="002A7D7C"/>
    <w:rsid w:val="002B128A"/>
    <w:rsid w:val="002B7F5B"/>
    <w:rsid w:val="002C49F0"/>
    <w:rsid w:val="002D41FB"/>
    <w:rsid w:val="002D6032"/>
    <w:rsid w:val="002E111F"/>
    <w:rsid w:val="002E193C"/>
    <w:rsid w:val="002E6C9A"/>
    <w:rsid w:val="002F2B47"/>
    <w:rsid w:val="002F41C3"/>
    <w:rsid w:val="00301325"/>
    <w:rsid w:val="0031377D"/>
    <w:rsid w:val="00316027"/>
    <w:rsid w:val="003208CB"/>
    <w:rsid w:val="00324451"/>
    <w:rsid w:val="0032770A"/>
    <w:rsid w:val="00331F23"/>
    <w:rsid w:val="00341404"/>
    <w:rsid w:val="00347974"/>
    <w:rsid w:val="00360852"/>
    <w:rsid w:val="0036363A"/>
    <w:rsid w:val="00363C2F"/>
    <w:rsid w:val="00371BDB"/>
    <w:rsid w:val="00372897"/>
    <w:rsid w:val="00374E75"/>
    <w:rsid w:val="00374FF4"/>
    <w:rsid w:val="0037700C"/>
    <w:rsid w:val="00377D67"/>
    <w:rsid w:val="00381C4A"/>
    <w:rsid w:val="00385DA2"/>
    <w:rsid w:val="00386004"/>
    <w:rsid w:val="003A0FEA"/>
    <w:rsid w:val="003B1635"/>
    <w:rsid w:val="003C5277"/>
    <w:rsid w:val="003F3A0C"/>
    <w:rsid w:val="003F4537"/>
    <w:rsid w:val="003F7465"/>
    <w:rsid w:val="00400AEA"/>
    <w:rsid w:val="00400EA3"/>
    <w:rsid w:val="004062B5"/>
    <w:rsid w:val="004076F2"/>
    <w:rsid w:val="0042020E"/>
    <w:rsid w:val="004270F5"/>
    <w:rsid w:val="00427766"/>
    <w:rsid w:val="00431AC8"/>
    <w:rsid w:val="00437E20"/>
    <w:rsid w:val="0044025B"/>
    <w:rsid w:val="0044060E"/>
    <w:rsid w:val="0044679E"/>
    <w:rsid w:val="00446BE7"/>
    <w:rsid w:val="00452469"/>
    <w:rsid w:val="00455784"/>
    <w:rsid w:val="00462D5A"/>
    <w:rsid w:val="00473674"/>
    <w:rsid w:val="00477E8B"/>
    <w:rsid w:val="0048156E"/>
    <w:rsid w:val="0048319D"/>
    <w:rsid w:val="0048536C"/>
    <w:rsid w:val="004A0FB9"/>
    <w:rsid w:val="004A4E8B"/>
    <w:rsid w:val="004A51D2"/>
    <w:rsid w:val="004A7EC1"/>
    <w:rsid w:val="004B0E84"/>
    <w:rsid w:val="004B65F5"/>
    <w:rsid w:val="004C7BE5"/>
    <w:rsid w:val="004D3B42"/>
    <w:rsid w:val="004E184C"/>
    <w:rsid w:val="004E4CD1"/>
    <w:rsid w:val="004E5D45"/>
    <w:rsid w:val="004F2263"/>
    <w:rsid w:val="004F65B4"/>
    <w:rsid w:val="00511A5B"/>
    <w:rsid w:val="0052272C"/>
    <w:rsid w:val="00523774"/>
    <w:rsid w:val="0052449F"/>
    <w:rsid w:val="00525C43"/>
    <w:rsid w:val="0053235F"/>
    <w:rsid w:val="005351CC"/>
    <w:rsid w:val="005437D1"/>
    <w:rsid w:val="00543E53"/>
    <w:rsid w:val="00551F60"/>
    <w:rsid w:val="005601D3"/>
    <w:rsid w:val="00567069"/>
    <w:rsid w:val="00584A37"/>
    <w:rsid w:val="00585CB4"/>
    <w:rsid w:val="005907D9"/>
    <w:rsid w:val="00593FC9"/>
    <w:rsid w:val="005A10B5"/>
    <w:rsid w:val="005A3181"/>
    <w:rsid w:val="005A5999"/>
    <w:rsid w:val="005B40D7"/>
    <w:rsid w:val="005B70A3"/>
    <w:rsid w:val="005C15BD"/>
    <w:rsid w:val="005C20C9"/>
    <w:rsid w:val="005D781F"/>
    <w:rsid w:val="005E0B93"/>
    <w:rsid w:val="005E3497"/>
    <w:rsid w:val="005E7EE0"/>
    <w:rsid w:val="005F68E8"/>
    <w:rsid w:val="00606969"/>
    <w:rsid w:val="00611A3D"/>
    <w:rsid w:val="00611E4B"/>
    <w:rsid w:val="00614FD3"/>
    <w:rsid w:val="006152EE"/>
    <w:rsid w:val="00632B0B"/>
    <w:rsid w:val="006439AA"/>
    <w:rsid w:val="00651FC4"/>
    <w:rsid w:val="00653469"/>
    <w:rsid w:val="00655820"/>
    <w:rsid w:val="0067670F"/>
    <w:rsid w:val="006824FD"/>
    <w:rsid w:val="006924EF"/>
    <w:rsid w:val="00694612"/>
    <w:rsid w:val="00696ABF"/>
    <w:rsid w:val="006974C5"/>
    <w:rsid w:val="006B0384"/>
    <w:rsid w:val="006B7034"/>
    <w:rsid w:val="006C14EF"/>
    <w:rsid w:val="006D1BD8"/>
    <w:rsid w:val="006E3571"/>
    <w:rsid w:val="006F1007"/>
    <w:rsid w:val="006F3C85"/>
    <w:rsid w:val="006F3FD1"/>
    <w:rsid w:val="006F4BD4"/>
    <w:rsid w:val="007007A7"/>
    <w:rsid w:val="00702AEA"/>
    <w:rsid w:val="00705998"/>
    <w:rsid w:val="007342E1"/>
    <w:rsid w:val="007366D9"/>
    <w:rsid w:val="00754991"/>
    <w:rsid w:val="00761388"/>
    <w:rsid w:val="007815E9"/>
    <w:rsid w:val="007849AE"/>
    <w:rsid w:val="00785644"/>
    <w:rsid w:val="00785B86"/>
    <w:rsid w:val="00787514"/>
    <w:rsid w:val="007950C6"/>
    <w:rsid w:val="007A5038"/>
    <w:rsid w:val="007A7BAC"/>
    <w:rsid w:val="007C64D4"/>
    <w:rsid w:val="007D106E"/>
    <w:rsid w:val="007D34BB"/>
    <w:rsid w:val="007D3ADB"/>
    <w:rsid w:val="007E5DE8"/>
    <w:rsid w:val="007E63A0"/>
    <w:rsid w:val="008053C0"/>
    <w:rsid w:val="00805A0C"/>
    <w:rsid w:val="00812E36"/>
    <w:rsid w:val="00814797"/>
    <w:rsid w:val="00822F4D"/>
    <w:rsid w:val="008256BE"/>
    <w:rsid w:val="00832520"/>
    <w:rsid w:val="008403D3"/>
    <w:rsid w:val="00854B90"/>
    <w:rsid w:val="008620E8"/>
    <w:rsid w:val="008645C2"/>
    <w:rsid w:val="00881C40"/>
    <w:rsid w:val="008A6B6C"/>
    <w:rsid w:val="008A73AB"/>
    <w:rsid w:val="008B37F8"/>
    <w:rsid w:val="008B531D"/>
    <w:rsid w:val="008C2697"/>
    <w:rsid w:val="008C330A"/>
    <w:rsid w:val="008C677A"/>
    <w:rsid w:val="008C7C3C"/>
    <w:rsid w:val="008F3740"/>
    <w:rsid w:val="008F60FB"/>
    <w:rsid w:val="008F79B3"/>
    <w:rsid w:val="00904C75"/>
    <w:rsid w:val="00920B3B"/>
    <w:rsid w:val="009439CB"/>
    <w:rsid w:val="009612BF"/>
    <w:rsid w:val="00962F2A"/>
    <w:rsid w:val="00963EAD"/>
    <w:rsid w:val="00965C2E"/>
    <w:rsid w:val="00981A64"/>
    <w:rsid w:val="00991553"/>
    <w:rsid w:val="009A3030"/>
    <w:rsid w:val="009A7A98"/>
    <w:rsid w:val="009B5116"/>
    <w:rsid w:val="009C23CD"/>
    <w:rsid w:val="009C29AA"/>
    <w:rsid w:val="009C2DA1"/>
    <w:rsid w:val="009D3331"/>
    <w:rsid w:val="009E20AC"/>
    <w:rsid w:val="009E48B7"/>
    <w:rsid w:val="009E5A33"/>
    <w:rsid w:val="009F4F6C"/>
    <w:rsid w:val="009F50BD"/>
    <w:rsid w:val="009F709F"/>
    <w:rsid w:val="009F7322"/>
    <w:rsid w:val="00A116B4"/>
    <w:rsid w:val="00A12F49"/>
    <w:rsid w:val="00A13605"/>
    <w:rsid w:val="00A2028A"/>
    <w:rsid w:val="00A21858"/>
    <w:rsid w:val="00A22B6C"/>
    <w:rsid w:val="00A258DB"/>
    <w:rsid w:val="00A3297E"/>
    <w:rsid w:val="00A36822"/>
    <w:rsid w:val="00A435AD"/>
    <w:rsid w:val="00A44B9B"/>
    <w:rsid w:val="00A44ED1"/>
    <w:rsid w:val="00A47B48"/>
    <w:rsid w:val="00A5201B"/>
    <w:rsid w:val="00A64237"/>
    <w:rsid w:val="00A66A96"/>
    <w:rsid w:val="00A66BF7"/>
    <w:rsid w:val="00A73A9C"/>
    <w:rsid w:val="00A80F5B"/>
    <w:rsid w:val="00A87630"/>
    <w:rsid w:val="00A90325"/>
    <w:rsid w:val="00A90AA9"/>
    <w:rsid w:val="00AA0CAB"/>
    <w:rsid w:val="00AA1DC0"/>
    <w:rsid w:val="00AA649F"/>
    <w:rsid w:val="00AB0762"/>
    <w:rsid w:val="00AC30F9"/>
    <w:rsid w:val="00AC4F41"/>
    <w:rsid w:val="00AC5B9D"/>
    <w:rsid w:val="00AC5F02"/>
    <w:rsid w:val="00AC7E0D"/>
    <w:rsid w:val="00AD02A1"/>
    <w:rsid w:val="00AD7F94"/>
    <w:rsid w:val="00AE211D"/>
    <w:rsid w:val="00AE6D6C"/>
    <w:rsid w:val="00AE7183"/>
    <w:rsid w:val="00AF08D6"/>
    <w:rsid w:val="00B0700F"/>
    <w:rsid w:val="00B14D7C"/>
    <w:rsid w:val="00B31EB9"/>
    <w:rsid w:val="00B33216"/>
    <w:rsid w:val="00B34DCB"/>
    <w:rsid w:val="00B53368"/>
    <w:rsid w:val="00B56BC6"/>
    <w:rsid w:val="00B617F6"/>
    <w:rsid w:val="00B75847"/>
    <w:rsid w:val="00B76982"/>
    <w:rsid w:val="00B830A6"/>
    <w:rsid w:val="00B84543"/>
    <w:rsid w:val="00B976FC"/>
    <w:rsid w:val="00BA2748"/>
    <w:rsid w:val="00BA6AB8"/>
    <w:rsid w:val="00BA7934"/>
    <w:rsid w:val="00BB28B4"/>
    <w:rsid w:val="00BE1A96"/>
    <w:rsid w:val="00BE2A06"/>
    <w:rsid w:val="00BE2FC2"/>
    <w:rsid w:val="00BF25B5"/>
    <w:rsid w:val="00BF3694"/>
    <w:rsid w:val="00BF6427"/>
    <w:rsid w:val="00C00656"/>
    <w:rsid w:val="00C15387"/>
    <w:rsid w:val="00C15936"/>
    <w:rsid w:val="00C16295"/>
    <w:rsid w:val="00C22CCA"/>
    <w:rsid w:val="00C24D4C"/>
    <w:rsid w:val="00C27E16"/>
    <w:rsid w:val="00C333C2"/>
    <w:rsid w:val="00C37261"/>
    <w:rsid w:val="00C45470"/>
    <w:rsid w:val="00C7216A"/>
    <w:rsid w:val="00C7340F"/>
    <w:rsid w:val="00C86AFA"/>
    <w:rsid w:val="00C9019C"/>
    <w:rsid w:val="00C92385"/>
    <w:rsid w:val="00CA6AF9"/>
    <w:rsid w:val="00CC76AD"/>
    <w:rsid w:val="00CD53A9"/>
    <w:rsid w:val="00CD7670"/>
    <w:rsid w:val="00CE54AC"/>
    <w:rsid w:val="00CF537A"/>
    <w:rsid w:val="00D018BD"/>
    <w:rsid w:val="00D05887"/>
    <w:rsid w:val="00D2225C"/>
    <w:rsid w:val="00D22343"/>
    <w:rsid w:val="00D26D62"/>
    <w:rsid w:val="00D30C56"/>
    <w:rsid w:val="00D34914"/>
    <w:rsid w:val="00D45283"/>
    <w:rsid w:val="00D461C1"/>
    <w:rsid w:val="00D56870"/>
    <w:rsid w:val="00D57A93"/>
    <w:rsid w:val="00D672D6"/>
    <w:rsid w:val="00D75F0A"/>
    <w:rsid w:val="00D9438D"/>
    <w:rsid w:val="00D97707"/>
    <w:rsid w:val="00DA0B6E"/>
    <w:rsid w:val="00DA0C46"/>
    <w:rsid w:val="00DA58B9"/>
    <w:rsid w:val="00DA6530"/>
    <w:rsid w:val="00DA69B9"/>
    <w:rsid w:val="00DB4066"/>
    <w:rsid w:val="00DB6F69"/>
    <w:rsid w:val="00DC138D"/>
    <w:rsid w:val="00DC3BBD"/>
    <w:rsid w:val="00DE15E5"/>
    <w:rsid w:val="00DE2551"/>
    <w:rsid w:val="00DE453C"/>
    <w:rsid w:val="00E04525"/>
    <w:rsid w:val="00E22CF6"/>
    <w:rsid w:val="00E24380"/>
    <w:rsid w:val="00E339D6"/>
    <w:rsid w:val="00E35172"/>
    <w:rsid w:val="00E447CC"/>
    <w:rsid w:val="00E52351"/>
    <w:rsid w:val="00E5368F"/>
    <w:rsid w:val="00EB5C36"/>
    <w:rsid w:val="00EB6249"/>
    <w:rsid w:val="00EB6A35"/>
    <w:rsid w:val="00EC269A"/>
    <w:rsid w:val="00EC48B6"/>
    <w:rsid w:val="00EE2F32"/>
    <w:rsid w:val="00F031C8"/>
    <w:rsid w:val="00F06832"/>
    <w:rsid w:val="00F06F79"/>
    <w:rsid w:val="00F239C4"/>
    <w:rsid w:val="00F250F7"/>
    <w:rsid w:val="00F26C18"/>
    <w:rsid w:val="00F34EE3"/>
    <w:rsid w:val="00F41F99"/>
    <w:rsid w:val="00F47C0F"/>
    <w:rsid w:val="00F501E6"/>
    <w:rsid w:val="00F54A33"/>
    <w:rsid w:val="00F60564"/>
    <w:rsid w:val="00F701AC"/>
    <w:rsid w:val="00F7574A"/>
    <w:rsid w:val="00F82726"/>
    <w:rsid w:val="00F91A0F"/>
    <w:rsid w:val="00F91AD7"/>
    <w:rsid w:val="00F9559C"/>
    <w:rsid w:val="00FA33E4"/>
    <w:rsid w:val="00FC4BA1"/>
    <w:rsid w:val="00FF0AC9"/>
    <w:rsid w:val="00FF282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0D5A0C0B-1FF2-4295-AB4D-9A9FCB14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9C4"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Absatz1"/>
    <w:qFormat/>
    <w:rsid w:val="005351CC"/>
    <w:pPr>
      <w:widowControl w:val="0"/>
      <w:numPr>
        <w:numId w:val="3"/>
      </w:numPr>
      <w:adjustRightInd w:val="0"/>
      <w:spacing w:before="240" w:after="120" w:line="360" w:lineRule="atLeast"/>
      <w:textAlignment w:val="baseline"/>
      <w:outlineLvl w:val="0"/>
    </w:pPr>
    <w:rPr>
      <w:b/>
      <w:sz w:val="28"/>
      <w:szCs w:val="20"/>
      <w:lang w:eastAsia="de-DE"/>
    </w:rPr>
  </w:style>
  <w:style w:type="paragraph" w:styleId="berschrift2">
    <w:name w:val="heading 2"/>
    <w:basedOn w:val="Standard"/>
    <w:next w:val="Absatz1"/>
    <w:qFormat/>
    <w:rsid w:val="005351CC"/>
    <w:pPr>
      <w:widowControl w:val="0"/>
      <w:numPr>
        <w:ilvl w:val="1"/>
        <w:numId w:val="3"/>
      </w:numPr>
      <w:adjustRightInd w:val="0"/>
      <w:spacing w:before="120" w:after="120" w:line="360" w:lineRule="atLeast"/>
      <w:textAlignment w:val="baseline"/>
      <w:outlineLvl w:val="1"/>
    </w:pPr>
    <w:rPr>
      <w:b/>
      <w:noProof/>
      <w:szCs w:val="20"/>
      <w:lang w:eastAsia="de-DE"/>
    </w:rPr>
  </w:style>
  <w:style w:type="paragraph" w:styleId="berschrift3">
    <w:name w:val="heading 3"/>
    <w:basedOn w:val="Standard"/>
    <w:next w:val="Absatz1"/>
    <w:qFormat/>
    <w:rsid w:val="005351CC"/>
    <w:pPr>
      <w:widowControl w:val="0"/>
      <w:numPr>
        <w:ilvl w:val="2"/>
        <w:numId w:val="3"/>
      </w:numPr>
      <w:adjustRightInd w:val="0"/>
      <w:spacing w:after="120" w:line="360" w:lineRule="atLeast"/>
      <w:textAlignment w:val="baseline"/>
      <w:outlineLvl w:val="2"/>
    </w:pPr>
    <w:rPr>
      <w:b/>
      <w:noProof/>
      <w:sz w:val="22"/>
      <w:szCs w:val="20"/>
      <w:lang w:eastAsia="de-DE"/>
    </w:rPr>
  </w:style>
  <w:style w:type="paragraph" w:styleId="berschrift4">
    <w:name w:val="heading 4"/>
    <w:basedOn w:val="Standard"/>
    <w:next w:val="Absatz1"/>
    <w:qFormat/>
    <w:rsid w:val="005351CC"/>
    <w:pPr>
      <w:keepNext/>
      <w:widowControl w:val="0"/>
      <w:numPr>
        <w:ilvl w:val="3"/>
        <w:numId w:val="3"/>
      </w:numPr>
      <w:adjustRightInd w:val="0"/>
      <w:spacing w:after="120" w:line="360" w:lineRule="atLeast"/>
      <w:textAlignment w:val="baseline"/>
      <w:outlineLvl w:val="3"/>
    </w:pPr>
    <w:rPr>
      <w:b/>
      <w:noProof/>
      <w:sz w:val="22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5351CC"/>
    <w:pPr>
      <w:widowControl w:val="0"/>
      <w:numPr>
        <w:ilvl w:val="4"/>
        <w:numId w:val="3"/>
      </w:numPr>
      <w:adjustRightInd w:val="0"/>
      <w:spacing w:before="240" w:after="60" w:line="360" w:lineRule="atLeast"/>
      <w:jc w:val="both"/>
      <w:textAlignment w:val="baseline"/>
      <w:outlineLvl w:val="4"/>
    </w:pPr>
    <w:rPr>
      <w:sz w:val="22"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5351CC"/>
    <w:pPr>
      <w:widowControl w:val="0"/>
      <w:numPr>
        <w:ilvl w:val="5"/>
        <w:numId w:val="3"/>
      </w:numPr>
      <w:adjustRightInd w:val="0"/>
      <w:spacing w:before="240" w:after="60" w:line="360" w:lineRule="atLeast"/>
      <w:jc w:val="both"/>
      <w:textAlignment w:val="baseline"/>
      <w:outlineLvl w:val="5"/>
    </w:pPr>
    <w:rPr>
      <w:i/>
      <w:sz w:val="22"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5351CC"/>
    <w:pPr>
      <w:widowControl w:val="0"/>
      <w:numPr>
        <w:ilvl w:val="6"/>
        <w:numId w:val="3"/>
      </w:numPr>
      <w:adjustRightInd w:val="0"/>
      <w:spacing w:before="240" w:after="60" w:line="360" w:lineRule="atLeast"/>
      <w:jc w:val="both"/>
      <w:textAlignment w:val="baseline"/>
      <w:outlineLvl w:val="6"/>
    </w:pPr>
    <w:rPr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5351CC"/>
    <w:pPr>
      <w:widowControl w:val="0"/>
      <w:numPr>
        <w:ilvl w:val="7"/>
        <w:numId w:val="3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5351CC"/>
    <w:pPr>
      <w:widowControl w:val="0"/>
      <w:numPr>
        <w:ilvl w:val="8"/>
        <w:numId w:val="3"/>
      </w:numPr>
      <w:adjustRightInd w:val="0"/>
      <w:spacing w:before="240" w:after="60" w:line="360" w:lineRule="atLeast"/>
      <w:jc w:val="both"/>
      <w:textAlignment w:val="baseline"/>
      <w:outlineLvl w:val="8"/>
    </w:pPr>
    <w:rPr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32F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32FA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B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46A70"/>
  </w:style>
  <w:style w:type="paragraph" w:styleId="Sprechblasentext">
    <w:name w:val="Balloon Text"/>
    <w:basedOn w:val="Standard"/>
    <w:semiHidden/>
    <w:rsid w:val="00AF08D6"/>
    <w:rPr>
      <w:rFonts w:ascii="Tahoma" w:hAnsi="Tahoma" w:cs="Tahoma"/>
      <w:sz w:val="16"/>
      <w:szCs w:val="16"/>
    </w:rPr>
  </w:style>
  <w:style w:type="paragraph" w:customStyle="1" w:styleId="Absatz1">
    <w:name w:val="Absatz 1"/>
    <w:basedOn w:val="Standard"/>
    <w:rsid w:val="005351CC"/>
    <w:pPr>
      <w:widowControl w:val="0"/>
      <w:adjustRightInd w:val="0"/>
      <w:spacing w:line="360" w:lineRule="atLeast"/>
      <w:ind w:left="851"/>
      <w:jc w:val="both"/>
      <w:textAlignment w:val="baseline"/>
    </w:pPr>
    <w:rPr>
      <w:sz w:val="22"/>
      <w:szCs w:val="20"/>
      <w:lang w:eastAsia="de-DE"/>
    </w:rPr>
  </w:style>
  <w:style w:type="paragraph" w:styleId="Titel">
    <w:name w:val="Title"/>
    <w:basedOn w:val="Standard"/>
    <w:next w:val="Standard"/>
    <w:qFormat/>
    <w:rsid w:val="001B2CE2"/>
    <w:pPr>
      <w:spacing w:after="480" w:line="480" w:lineRule="exact"/>
    </w:pPr>
    <w:rPr>
      <w:rFonts w:cs="Arial"/>
      <w:b/>
      <w:bCs/>
      <w:kern w:val="28"/>
      <w:sz w:val="42"/>
      <w:szCs w:val="40"/>
      <w:lang w:eastAsia="de-DE"/>
    </w:rPr>
  </w:style>
  <w:style w:type="paragraph" w:styleId="Untertitel">
    <w:name w:val="Subtitle"/>
    <w:basedOn w:val="Standard"/>
    <w:next w:val="Standard"/>
    <w:qFormat/>
    <w:rsid w:val="001B2CE2"/>
    <w:pPr>
      <w:spacing w:after="200" w:line="480" w:lineRule="exact"/>
    </w:pPr>
    <w:rPr>
      <w:rFonts w:cs="Arial"/>
      <w:sz w:val="42"/>
      <w:szCs w:val="32"/>
      <w:lang w:eastAsia="de-DE"/>
    </w:rPr>
  </w:style>
  <w:style w:type="paragraph" w:styleId="Textkrper">
    <w:name w:val="Body Text"/>
    <w:basedOn w:val="Standard"/>
    <w:link w:val="TextkrperZchn"/>
    <w:rsid w:val="00F91A0F"/>
    <w:rPr>
      <w:rFonts w:cs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91A0F"/>
    <w:rPr>
      <w:rFonts w:ascii="Arial" w:hAnsi="Arial" w:cs="Arial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F91A0F"/>
    <w:rPr>
      <w:rFonts w:eastAsia="Arial Unicode MS" w:cs="Arial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F91A0F"/>
    <w:rPr>
      <w:rFonts w:ascii="Arial" w:eastAsia="Arial Unicode MS" w:hAnsi="Arial" w:cs="Arial"/>
      <w:lang w:eastAsia="de-DE"/>
    </w:rPr>
  </w:style>
  <w:style w:type="paragraph" w:styleId="Textkrper3">
    <w:name w:val="Body Text 3"/>
    <w:basedOn w:val="Standard"/>
    <w:link w:val="Textkrper3Zchn"/>
    <w:rsid w:val="00F91A0F"/>
    <w:pPr>
      <w:spacing w:before="120"/>
      <w:jc w:val="both"/>
    </w:pPr>
    <w:rPr>
      <w:rFonts w:cs="Arial"/>
      <w:sz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F91A0F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031C8"/>
    <w:rPr>
      <w:rFonts w:ascii="Arial" w:hAnsi="Arial"/>
      <w:sz w:val="24"/>
      <w:szCs w:val="24"/>
      <w:lang w:val="en-GB" w:eastAsia="en-US"/>
    </w:rPr>
  </w:style>
  <w:style w:type="paragraph" w:customStyle="1" w:styleId="TextCDB">
    <w:name w:val="Text_CDB"/>
    <w:basedOn w:val="Standard"/>
    <w:rsid w:val="007E5DE8"/>
    <w:pPr>
      <w:spacing w:after="260" w:line="260" w:lineRule="atLeast"/>
    </w:pPr>
    <w:rPr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8F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0BE0-C28D-41AA-8C3A-5215410A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12017</Characters>
  <Application>Microsoft Office Word</Application>
  <DocSecurity>4</DocSecurity>
  <Lines>100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BIT</Company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Wäfler Christian BBL</dc:creator>
  <cp:lastModifiedBy>Schwarz Monika BBL</cp:lastModifiedBy>
  <cp:revision>2</cp:revision>
  <cp:lastPrinted>2014-12-08T15:42:00Z</cp:lastPrinted>
  <dcterms:created xsi:type="dcterms:W3CDTF">2017-12-27T13:03:00Z</dcterms:created>
  <dcterms:modified xsi:type="dcterms:W3CDTF">2017-12-27T13:03:00Z</dcterms:modified>
</cp:coreProperties>
</file>